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F9E0" w14:textId="77777777" w:rsidR="00482A97" w:rsidRDefault="00720AE8">
      <w:pPr>
        <w:spacing w:line="560" w:lineRule="exact"/>
        <w:contextualSpacing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浦东国际人才发展中心</w:t>
      </w:r>
    </w:p>
    <w:p w14:paraId="4E97B115" w14:textId="77777777" w:rsidR="00482A97" w:rsidRDefault="00720AE8">
      <w:pPr>
        <w:spacing w:line="560" w:lineRule="exact"/>
        <w:contextualSpacing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2022年工作计划</w:t>
      </w:r>
    </w:p>
    <w:p w14:paraId="2C716100" w14:textId="77777777" w:rsidR="00482A97" w:rsidRDefault="00720AE8">
      <w:pPr>
        <w:adjustRightInd w:val="0"/>
        <w:snapToGrid w:val="0"/>
        <w:spacing w:line="560" w:lineRule="exact"/>
        <w:ind w:firstLineChars="200" w:firstLine="643"/>
        <w:jc w:val="center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（讨论稿）</w:t>
      </w:r>
    </w:p>
    <w:p w14:paraId="14A305D5" w14:textId="0A15ED6B" w:rsidR="00482A97" w:rsidRDefault="00720AE8">
      <w:pPr>
        <w:adjustRightInd w:val="0"/>
        <w:snapToGrid w:val="0"/>
        <w:spacing w:line="560" w:lineRule="exact"/>
        <w:ind w:firstLineChars="220" w:firstLine="704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2022年我们</w:t>
      </w:r>
      <w:r>
        <w:rPr>
          <w:rFonts w:ascii="仿宋_GB2312" w:eastAsia="仿宋_GB2312" w:cs="宋体"/>
          <w:kern w:val="0"/>
          <w:sz w:val="32"/>
          <w:szCs w:val="32"/>
        </w:rPr>
        <w:t>将</w:t>
      </w:r>
      <w:r w:rsidR="007A3CA5" w:rsidRPr="007A3CA5">
        <w:rPr>
          <w:rFonts w:ascii="仿宋_GB2312" w:eastAsia="仿宋_GB2312" w:cs="宋体" w:hint="eastAsia"/>
          <w:kern w:val="0"/>
          <w:sz w:val="32"/>
          <w:szCs w:val="32"/>
        </w:rPr>
        <w:t>紧紧围绕引领区建设重大任务，按照将浦东国际人才港打造为提供优质服务的窗口、综合推进人才工作的阵地、对外沟通交流的桥梁的功能定位，</w:t>
      </w:r>
      <w:r>
        <w:rPr>
          <w:rFonts w:ascii="仿宋_GB2312" w:eastAsia="仿宋_GB2312" w:cs="宋体" w:hint="eastAsia"/>
          <w:kern w:val="0"/>
          <w:sz w:val="32"/>
          <w:szCs w:val="32"/>
        </w:rPr>
        <w:t>全力运营好人才港“创新创业服务平台”、“在线服务平台”</w:t>
      </w:r>
      <w:r>
        <w:rPr>
          <w:rFonts w:ascii="仿宋_GB2312" w:eastAsia="仿宋_GB2312" w:cs="宋体"/>
          <w:kern w:val="0"/>
          <w:sz w:val="32"/>
          <w:szCs w:val="32"/>
        </w:rPr>
        <w:t>以及</w:t>
      </w:r>
      <w:r>
        <w:rPr>
          <w:rFonts w:ascii="仿宋_GB2312" w:eastAsia="仿宋_GB2312" w:cs="宋体" w:hint="eastAsia"/>
          <w:kern w:val="0"/>
          <w:sz w:val="32"/>
          <w:szCs w:val="32"/>
        </w:rPr>
        <w:t>“高层次人才服务”，继续在吸引、服务、凝聚、培养和成就人才的工作路径中，形成</w:t>
      </w:r>
      <w:r>
        <w:rPr>
          <w:rFonts w:ascii="仿宋_GB2312" w:eastAsia="仿宋_GB2312" w:cs="宋体"/>
          <w:kern w:val="0"/>
          <w:sz w:val="32"/>
          <w:szCs w:val="32"/>
        </w:rPr>
        <w:t>中心独特的人才</w:t>
      </w:r>
      <w:r>
        <w:rPr>
          <w:rFonts w:ascii="仿宋_GB2312" w:eastAsia="仿宋_GB2312" w:cs="宋体" w:hint="eastAsia"/>
          <w:kern w:val="0"/>
          <w:sz w:val="32"/>
          <w:szCs w:val="32"/>
        </w:rPr>
        <w:t>“引领”、“启发”的优势，重点从以下几个方面入手：</w:t>
      </w:r>
    </w:p>
    <w:p w14:paraId="4D238522" w14:textId="77777777" w:rsidR="00482A97" w:rsidRDefault="00720AE8">
      <w:pPr>
        <w:adjustRightInd w:val="0"/>
        <w:snapToGrid w:val="0"/>
        <w:spacing w:line="560" w:lineRule="exact"/>
        <w:ind w:firstLineChars="220" w:firstLine="704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一、进一步加强高层次人才服务，强化服务机制和人才引领</w:t>
      </w:r>
    </w:p>
    <w:p w14:paraId="66B75180" w14:textId="0F616F74" w:rsidR="00482A97" w:rsidRDefault="00720AE8">
      <w:pPr>
        <w:spacing w:line="560" w:lineRule="exact"/>
        <w:ind w:firstLineChars="220" w:firstLine="707"/>
        <w:rPr>
          <w:rFonts w:ascii="仿宋_GB2312" w:eastAsia="仿宋_GB2312" w:cs="宋体"/>
          <w:b/>
          <w:sz w:val="32"/>
          <w:szCs w:val="32"/>
        </w:rPr>
      </w:pPr>
      <w:bookmarkStart w:id="0" w:name="_Toc23962774"/>
      <w:r>
        <w:rPr>
          <w:rFonts w:ascii="仿宋_GB2312" w:eastAsia="仿宋_GB2312" w:cs="宋体" w:hint="eastAsia"/>
          <w:b/>
          <w:sz w:val="32"/>
          <w:szCs w:val="32"/>
        </w:rPr>
        <w:t>一是继续加强高层次人才的源头挖掘及引进服务。</w:t>
      </w:r>
      <w:r>
        <w:rPr>
          <w:rFonts w:ascii="仿宋_GB2312" w:eastAsia="仿宋_GB2312" w:cs="宋体" w:hint="eastAsia"/>
          <w:sz w:val="32"/>
          <w:szCs w:val="32"/>
        </w:rPr>
        <w:t>继续拓展与投资机构、孵化器、校友会、行业协会等专业机构的合作，形成创新创业人才推荐联盟，打造合作引才通道；同时配合做好人才引进申报辅导、核查工作，提高引进人才项目质量</w:t>
      </w:r>
      <w:r w:rsidR="00722B96">
        <w:rPr>
          <w:rFonts w:ascii="仿宋_GB2312" w:eastAsia="仿宋_GB2312" w:cs="宋体" w:hint="eastAsia"/>
          <w:sz w:val="32"/>
          <w:szCs w:val="32"/>
        </w:rPr>
        <w:t>；</w:t>
      </w:r>
    </w:p>
    <w:p w14:paraId="21BE87C6" w14:textId="296CED03" w:rsidR="00482A97" w:rsidRDefault="00720AE8">
      <w:pPr>
        <w:spacing w:line="560" w:lineRule="exact"/>
        <w:ind w:firstLineChars="220" w:firstLine="707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二是继续加强重点单位及海外高层次创业人才的精品服务。</w:t>
      </w:r>
      <w:r>
        <w:rPr>
          <w:rFonts w:ascii="仿宋_GB2312" w:eastAsia="仿宋_GB2312" w:cs="宋体" w:hint="eastAsia"/>
          <w:sz w:val="32"/>
          <w:szCs w:val="32"/>
        </w:rPr>
        <w:t>在市人才办的指导下，继续做好落地浦东的5家高峰人才单位专家及团队的服务；策划对重点科研单位、高层次创业专家的针对性、共性服务响应，如出入境个性化面谈等；策划更具吸引力、影响力的专家研修活动</w:t>
      </w:r>
      <w:r w:rsidR="00722B96">
        <w:rPr>
          <w:rFonts w:ascii="仿宋_GB2312" w:eastAsia="仿宋_GB2312" w:cs="宋体" w:hint="eastAsia"/>
          <w:sz w:val="32"/>
          <w:szCs w:val="32"/>
        </w:rPr>
        <w:t>；</w:t>
      </w:r>
      <w:r>
        <w:rPr>
          <w:rFonts w:ascii="仿宋_GB2312" w:eastAsia="仿宋_GB2312" w:cs="宋体" w:hint="eastAsia"/>
          <w:sz w:val="32"/>
          <w:szCs w:val="32"/>
        </w:rPr>
        <w:t xml:space="preserve"> </w:t>
      </w:r>
    </w:p>
    <w:p w14:paraId="256B7C77" w14:textId="5C952ED5" w:rsidR="00482A97" w:rsidRDefault="00720AE8">
      <w:pPr>
        <w:spacing w:line="560" w:lineRule="exact"/>
        <w:ind w:firstLineChars="220" w:firstLine="707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三是拓展更精准综合的人才服务内容</w:t>
      </w:r>
      <w:r>
        <w:rPr>
          <w:rFonts w:ascii="仿宋_GB2312" w:eastAsia="仿宋_GB2312" w:cs="宋体" w:hint="eastAsia"/>
          <w:sz w:val="32"/>
          <w:szCs w:val="32"/>
        </w:rPr>
        <w:t>。在原有租房补贴申请服务、人才计划申报、人才落户协助、永居办理、邀请</w:t>
      </w:r>
      <w:r>
        <w:rPr>
          <w:rFonts w:ascii="仿宋_GB2312" w:eastAsia="仿宋_GB2312" w:cs="宋体" w:hint="eastAsia"/>
          <w:sz w:val="32"/>
          <w:szCs w:val="32"/>
        </w:rPr>
        <w:lastRenderedPageBreak/>
        <w:t>函入境的基础上，充分发挥“政企社才”优势，尝试企业家私董会、投融资管理、知识产权等更综合、个性化精准服务，并引导形成“人才服务人才”的自服务生态</w:t>
      </w:r>
      <w:r w:rsidR="00722B96">
        <w:rPr>
          <w:rFonts w:ascii="仿宋_GB2312" w:eastAsia="仿宋_GB2312" w:cs="宋体" w:hint="eastAsia"/>
          <w:sz w:val="32"/>
          <w:szCs w:val="32"/>
        </w:rPr>
        <w:t>；</w:t>
      </w:r>
    </w:p>
    <w:p w14:paraId="2792AA4A" w14:textId="77777777" w:rsidR="00482A97" w:rsidRDefault="00720AE8">
      <w:pPr>
        <w:spacing w:line="560" w:lineRule="exact"/>
        <w:ind w:firstLineChars="220" w:firstLine="707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四是建立“一人一企一档”的闭环服务体系。</w:t>
      </w:r>
      <w:r>
        <w:rPr>
          <w:rFonts w:ascii="仿宋_GB2312" w:eastAsia="仿宋_GB2312" w:cs="宋体" w:hint="eastAsia"/>
          <w:sz w:val="32"/>
          <w:szCs w:val="32"/>
        </w:rPr>
        <w:t>制定定期走访名单和走访联络计划，形成重点人才需求收集、服务记录、以及经典服务案例汇总的机制</w:t>
      </w:r>
      <w:r>
        <w:rPr>
          <w:rFonts w:ascii="仿宋_GB2312" w:eastAsia="仿宋_GB2312" w:cs="宋体" w:hint="eastAsia"/>
          <w:b/>
          <w:sz w:val="32"/>
          <w:szCs w:val="32"/>
        </w:rPr>
        <w:t>。</w:t>
      </w:r>
    </w:p>
    <w:bookmarkEnd w:id="0"/>
    <w:p w14:paraId="409B902E" w14:textId="77777777" w:rsidR="00482A97" w:rsidRDefault="00720AE8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二、进一步提高创新创业服务的落地质量与效果</w:t>
      </w:r>
    </w:p>
    <w:p w14:paraId="2AF71080" w14:textId="77777777" w:rsidR="00482A97" w:rsidRDefault="00720AE8">
      <w:pPr>
        <w:spacing w:line="560" w:lineRule="exact"/>
        <w:ind w:firstLineChars="200" w:firstLine="643"/>
        <w:rPr>
          <w:rFonts w:eastAsia="仿宋_GB2312"/>
          <w:sz w:val="32"/>
          <w:szCs w:val="32"/>
          <w:highlight w:val="yellow"/>
        </w:rPr>
      </w:pPr>
      <w:r>
        <w:rPr>
          <w:rFonts w:eastAsia="仿宋_GB2312" w:hint="eastAsia"/>
          <w:b/>
          <w:sz w:val="32"/>
          <w:szCs w:val="32"/>
        </w:rPr>
        <w:t>一是深化打造“创业首站”服务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依托市科委建立的全</w:t>
      </w:r>
      <w:r>
        <w:rPr>
          <w:rFonts w:ascii="仿宋_GB2312" w:eastAsia="仿宋_GB2312" w:cs="宋体"/>
          <w:sz w:val="32"/>
          <w:szCs w:val="32"/>
        </w:rPr>
        <w:t>市</w:t>
      </w:r>
      <w:r>
        <w:rPr>
          <w:rFonts w:ascii="仿宋_GB2312" w:eastAsia="仿宋_GB2312" w:cs="宋体"/>
          <w:sz w:val="32"/>
          <w:szCs w:val="32"/>
        </w:rPr>
        <w:t>“</w:t>
      </w:r>
      <w:r>
        <w:rPr>
          <w:rFonts w:ascii="仿宋_GB2312" w:eastAsia="仿宋_GB2312" w:cs="宋体"/>
          <w:sz w:val="32"/>
          <w:szCs w:val="32"/>
        </w:rPr>
        <w:t>创业首站</w:t>
      </w:r>
      <w:r>
        <w:rPr>
          <w:rFonts w:ascii="仿宋_GB2312" w:eastAsia="仿宋_GB2312" w:cs="宋体"/>
          <w:sz w:val="32"/>
          <w:szCs w:val="32"/>
        </w:rPr>
        <w:t>”</w:t>
      </w:r>
      <w:r>
        <w:rPr>
          <w:rFonts w:ascii="仿宋_GB2312" w:eastAsia="仿宋_GB2312" w:cs="宋体"/>
          <w:sz w:val="32"/>
          <w:szCs w:val="32"/>
        </w:rPr>
        <w:t>服务网络资源，联合各孵化器众筹内容，对现有</w:t>
      </w:r>
      <w:r>
        <w:rPr>
          <w:rFonts w:ascii="仿宋_GB2312" w:eastAsia="仿宋_GB2312" w:cs="宋体"/>
          <w:sz w:val="32"/>
          <w:szCs w:val="32"/>
        </w:rPr>
        <w:t>“</w:t>
      </w:r>
      <w:r>
        <w:rPr>
          <w:rFonts w:ascii="仿宋_GB2312" w:eastAsia="仿宋_GB2312" w:cs="宋体"/>
          <w:sz w:val="32"/>
          <w:szCs w:val="32"/>
        </w:rPr>
        <w:t>创业首站</w:t>
      </w:r>
      <w:r>
        <w:rPr>
          <w:rFonts w:ascii="仿宋_GB2312" w:eastAsia="仿宋_GB2312" w:cs="宋体"/>
          <w:sz w:val="32"/>
          <w:szCs w:val="32"/>
        </w:rPr>
        <w:t>”</w:t>
      </w:r>
      <w:r>
        <w:rPr>
          <w:rFonts w:ascii="仿宋_GB2312" w:eastAsia="仿宋_GB2312" w:cs="宋体"/>
          <w:sz w:val="32"/>
          <w:szCs w:val="32"/>
        </w:rPr>
        <w:t>落地案例开展</w:t>
      </w:r>
      <w:r>
        <w:rPr>
          <w:rFonts w:ascii="仿宋_GB2312" w:eastAsia="仿宋_GB2312" w:cs="宋体" w:hint="eastAsia"/>
          <w:sz w:val="32"/>
          <w:szCs w:val="32"/>
        </w:rPr>
        <w:t>研究，策划设计创业初期人才（尤其是高层次人才）需要的“首站扶持”内容，并固化成线上产品；</w:t>
      </w:r>
      <w:r>
        <w:rPr>
          <w:rFonts w:ascii="仿宋_GB2312" w:eastAsia="仿宋_GB2312" w:cs="宋体"/>
          <w:sz w:val="32"/>
          <w:szCs w:val="32"/>
        </w:rPr>
        <w:t xml:space="preserve"> </w:t>
      </w:r>
    </w:p>
    <w:p w14:paraId="6340C588" w14:textId="77777777" w:rsidR="00482A97" w:rsidRDefault="00720AE8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二是加强海外高水平人才和本土人才的融合与培养。</w:t>
      </w:r>
      <w:r>
        <w:rPr>
          <w:rFonts w:eastAsia="仿宋_GB2312" w:hint="eastAsia"/>
          <w:sz w:val="32"/>
          <w:szCs w:val="32"/>
        </w:rPr>
        <w:t>在原有的芯人芯事、</w:t>
      </w:r>
      <w:r w:rsidRPr="00EC16AC">
        <w:rPr>
          <w:rFonts w:ascii="仿宋_GB2312" w:eastAsia="仿宋_GB2312" w:hint="eastAsia"/>
          <w:sz w:val="32"/>
          <w:szCs w:val="32"/>
        </w:rPr>
        <w:t>science café的基</w:t>
      </w:r>
      <w:r>
        <w:rPr>
          <w:rFonts w:eastAsia="仿宋_GB2312" w:hint="eastAsia"/>
          <w:sz w:val="32"/>
          <w:szCs w:val="32"/>
        </w:rPr>
        <w:t>础上，拓展凯思俱乐部、</w:t>
      </w:r>
      <w:r>
        <w:rPr>
          <w:rFonts w:eastAsia="仿宋_GB2312" w:hint="eastAsia"/>
          <w:sz w:val="32"/>
          <w:szCs w:val="32"/>
        </w:rPr>
        <w:t>DIA</w:t>
      </w:r>
      <w:r>
        <w:rPr>
          <w:rFonts w:eastAsia="仿宋_GB2312" w:hint="eastAsia"/>
          <w:sz w:val="32"/>
          <w:szCs w:val="32"/>
        </w:rPr>
        <w:t>等专业技术人才培养合作关系，结合产业人才需求痛点，在人才港引导形成专业技术人才培养基地；</w:t>
      </w:r>
    </w:p>
    <w:p w14:paraId="46E6D3BD" w14:textId="77777777" w:rsidR="00482A97" w:rsidRDefault="00720AE8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三是强化国际化人才引进与服务资源。</w:t>
      </w:r>
      <w:r>
        <w:rPr>
          <w:rFonts w:eastAsia="仿宋_GB2312" w:hint="eastAsia"/>
          <w:sz w:val="32"/>
          <w:szCs w:val="32"/>
        </w:rPr>
        <w:t>联合港内外专业机构，进一步强化“菁英聚浦东名校入港计划”的优质校友会集聚，在策划各类企业家俱乐部、</w:t>
      </w:r>
      <w:r>
        <w:rPr>
          <w:rFonts w:eastAsia="仿宋_GB2312" w:hint="eastAsia"/>
          <w:sz w:val="32"/>
          <w:szCs w:val="32"/>
        </w:rPr>
        <w:t>HR</w:t>
      </w:r>
      <w:r>
        <w:rPr>
          <w:rFonts w:eastAsia="仿宋_GB2312" w:hint="eastAsia"/>
          <w:sz w:val="32"/>
          <w:szCs w:val="32"/>
        </w:rPr>
        <w:t>联盟俱乐部等活动的基础上，加强人才落地、项目对接、项目成果转化等成效。</w:t>
      </w:r>
    </w:p>
    <w:p w14:paraId="2055D1A1" w14:textId="77777777" w:rsidR="00482A97" w:rsidRDefault="00720A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>三、进一步加强政策服务能力和创新试点能力</w:t>
      </w:r>
    </w:p>
    <w:p w14:paraId="1757CA68" w14:textId="11F40206" w:rsidR="00482A97" w:rsidRDefault="00720AE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t>一是加强政策收集及学习。</w:t>
      </w:r>
      <w:r>
        <w:rPr>
          <w:rFonts w:eastAsia="仿宋_GB2312" w:hint="eastAsia"/>
          <w:sz w:val="32"/>
          <w:szCs w:val="32"/>
        </w:rPr>
        <w:t>借助“浦东人才快速攻略”的更新制作，加强与各委办局老师的日常联络和政策学习；在内部服务例会的案例总结中，加强重点政策实战学习；制</w:t>
      </w:r>
      <w:r>
        <w:rPr>
          <w:rFonts w:eastAsia="仿宋_GB2312" w:hint="eastAsia"/>
          <w:sz w:val="32"/>
          <w:szCs w:val="32"/>
        </w:rPr>
        <w:lastRenderedPageBreak/>
        <w:t>定定期政策更新及收集安排，组织内部政策学习分享</w:t>
      </w:r>
      <w:r w:rsidR="00AA672E">
        <w:rPr>
          <w:rFonts w:eastAsia="仿宋_GB2312" w:hint="eastAsia"/>
          <w:sz w:val="32"/>
          <w:szCs w:val="32"/>
        </w:rPr>
        <w:t>；</w:t>
      </w:r>
    </w:p>
    <w:p w14:paraId="1DFCC51C" w14:textId="77777777" w:rsidR="00482A97" w:rsidRDefault="00720AE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b/>
          <w:bCs/>
          <w:sz w:val="32"/>
          <w:szCs w:val="32"/>
        </w:rPr>
        <w:t>二是加强开展政策需求调研与总结。</w:t>
      </w:r>
      <w:r>
        <w:rPr>
          <w:rFonts w:ascii="仿宋_GB2312" w:eastAsia="仿宋_GB2312" w:cs="宋体" w:hint="eastAsia"/>
          <w:bCs/>
          <w:sz w:val="32"/>
          <w:szCs w:val="32"/>
        </w:rPr>
        <w:t>通过日常走访、座谈会、问卷调研、课题合作等多种渠道，定期收集整理</w:t>
      </w:r>
      <w:r>
        <w:rPr>
          <w:rFonts w:ascii="仿宋_GB2312" w:eastAsia="仿宋_GB2312" w:cs="宋体" w:hint="eastAsia"/>
          <w:sz w:val="32"/>
          <w:szCs w:val="32"/>
        </w:rPr>
        <w:t>人才需求及政策难点，及时形成月度简报、案例建议等报人才办。</w:t>
      </w:r>
    </w:p>
    <w:p w14:paraId="05228809" w14:textId="77777777" w:rsidR="00482A97" w:rsidRDefault="00720A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四、进一步提升信息平台的影响力和资源整合力</w:t>
      </w:r>
    </w:p>
    <w:p w14:paraId="18C971FA" w14:textId="77777777" w:rsidR="00482A97" w:rsidRDefault="00720AE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一是进一步增加信息平台的活跃度和丰富度。</w:t>
      </w:r>
      <w:r>
        <w:rPr>
          <w:rFonts w:ascii="仿宋_GB2312" w:eastAsia="仿宋_GB2312" w:hAnsi="仿宋" w:hint="eastAsia"/>
          <w:sz w:val="32"/>
          <w:szCs w:val="32"/>
        </w:rPr>
        <w:t>结合我们现有后台数据的用户分析，扩大对青年科技人才用户的覆盖度，增加对视频号、抖音等平台的微视频制作的策划与投入；在原有</w:t>
      </w:r>
      <w:r>
        <w:rPr>
          <w:rFonts w:ascii="仿宋_GB2312" w:eastAsia="仿宋_GB2312" w:hint="eastAsia"/>
          <w:sz w:val="32"/>
          <w:szCs w:val="32"/>
        </w:rPr>
        <w:t>政策类聚合帖、创变者等原创内容基础上，拓展情感类可引发共鸣的内容策划，如《浦东科技型企业加班摸底》等；专题设计“创业首站”话题，以回国、落地、开办企业、工作生活的路线，考虑以“一出飞机场、就到人才港”为品牌理念的动画小视频；</w:t>
      </w:r>
    </w:p>
    <w:p w14:paraId="032639D9" w14:textId="77777777" w:rsidR="00482A97" w:rsidRDefault="00720AE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二是增加与专业服务机构或平台的内容共建与资源互换。</w:t>
      </w:r>
      <w:r>
        <w:rPr>
          <w:rFonts w:ascii="仿宋_GB2312" w:eastAsia="仿宋_GB2312" w:hint="eastAsia"/>
          <w:sz w:val="32"/>
          <w:szCs w:val="32"/>
        </w:rPr>
        <w:t>加强和港内外各机构、企业的对接，邀请各单位提供各类原创内容作为微信内容的补足，如和外服合作职业相关的内容《年底了，年终总结怎么写》，和出入境合作移民融合的相关主题《上海人的过年习俗，侬晓得哇？》，和人社合作招聘、留学生的相关主题《亲身体验告诉你如何办理留学生落户》《生物医药企业应聘专场，请收好》等；</w:t>
      </w:r>
    </w:p>
    <w:p w14:paraId="6C85EBE2" w14:textId="77777777" w:rsidR="00482A97" w:rsidRDefault="00720AE8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三是增加渠道合作推广和线下渠道露出。</w:t>
      </w:r>
      <w:r>
        <w:rPr>
          <w:rFonts w:ascii="仿宋_GB2312" w:eastAsia="仿宋_GB2312" w:hint="eastAsia"/>
          <w:sz w:val="32"/>
          <w:szCs w:val="32"/>
        </w:rPr>
        <w:t>拓展“学习强国”、青年报、青春上海、浦东青年等新媒体渠道合作；结合年度人才港论坛、港内外活动，增加线下曝光度。</w:t>
      </w:r>
    </w:p>
    <w:p w14:paraId="68B723D4" w14:textId="77777777" w:rsidR="00482A97" w:rsidRDefault="00720A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五、进一步加强展示与交互的服务能力和水平</w:t>
      </w:r>
    </w:p>
    <w:p w14:paraId="54E66DFB" w14:textId="77777777" w:rsidR="00482A97" w:rsidRDefault="00720AE8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一是提升接待保障水平。</w:t>
      </w:r>
      <w:r>
        <w:rPr>
          <w:rFonts w:ascii="仿宋_GB2312" w:eastAsia="仿宋_GB2312" w:cs="宋体" w:hint="eastAsia"/>
          <w:kern w:val="0"/>
          <w:sz w:val="32"/>
          <w:szCs w:val="32"/>
        </w:rPr>
        <w:t>在原有接待、讲解、会务的标准化和流程的基础上，做好细节管理，以及相关设施设备的第三方机构合作方管理，保障人才港高品质接待水准；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二是及时更新制作人才港对外宣传内容。</w:t>
      </w:r>
      <w:r>
        <w:rPr>
          <w:rFonts w:ascii="仿宋_GB2312" w:eastAsia="仿宋_GB2312" w:cs="宋体" w:hint="eastAsia"/>
          <w:kern w:val="0"/>
          <w:sz w:val="32"/>
          <w:szCs w:val="32"/>
        </w:rPr>
        <w:t>及时</w:t>
      </w:r>
      <w:r>
        <w:rPr>
          <w:rFonts w:ascii="仿宋_GB2312" w:eastAsia="仿宋_GB2312" w:hint="eastAsia"/>
          <w:sz w:val="32"/>
          <w:szCs w:val="32"/>
        </w:rPr>
        <w:t>更新制作人才港对外服务资料、宣传品、视频素材，营造温馨的高品质宣传氛围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7161A97" w14:textId="77777777" w:rsidR="00482A97" w:rsidRDefault="00720AE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六、内部管理和支撑保障建设</w:t>
      </w:r>
    </w:p>
    <w:p w14:paraId="1606D59F" w14:textId="623C7167" w:rsidR="00482A97" w:rsidRDefault="00720AE8">
      <w:pPr>
        <w:spacing w:line="560" w:lineRule="exact"/>
        <w:ind w:firstLineChars="200" w:firstLine="643"/>
      </w:pPr>
      <w:r>
        <w:rPr>
          <w:rFonts w:eastAsia="仿宋_GB2312" w:hint="eastAsia"/>
          <w:b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做好年度绩效管理，加强财务及档案留存管理能力，标准化内部资产管理、第三方供应方管理；</w:t>
      </w:r>
      <w:r>
        <w:rPr>
          <w:rFonts w:eastAsia="仿宋_GB2312" w:hint="eastAsia"/>
          <w:b/>
          <w:sz w:val="32"/>
          <w:szCs w:val="32"/>
        </w:rPr>
        <w:t>二是</w:t>
      </w:r>
      <w:r>
        <w:rPr>
          <w:rFonts w:eastAsia="仿宋_GB2312" w:hint="eastAsia"/>
          <w:sz w:val="32"/>
          <w:szCs w:val="32"/>
        </w:rPr>
        <w:t>加强中心支部、工会等制度建设，积极申请各类人才服务相关资质、项目申报；</w:t>
      </w:r>
      <w:r>
        <w:rPr>
          <w:rFonts w:eastAsia="仿宋_GB2312" w:hint="eastAsia"/>
          <w:b/>
          <w:sz w:val="32"/>
          <w:szCs w:val="32"/>
        </w:rPr>
        <w:t>三是</w:t>
      </w:r>
      <w:r>
        <w:rPr>
          <w:rFonts w:eastAsia="仿宋_GB2312" w:hint="eastAsia"/>
          <w:sz w:val="32"/>
          <w:szCs w:val="32"/>
        </w:rPr>
        <w:t>加强内部服务专员队伍梯队建设、新媒体小编创新力培养，建立中心独特的内部学习、培训、分享等机制</w:t>
      </w:r>
      <w:r w:rsidR="00AA672E">
        <w:rPr>
          <w:rFonts w:eastAsia="仿宋_GB2312" w:hint="eastAsia"/>
          <w:sz w:val="32"/>
          <w:szCs w:val="32"/>
        </w:rPr>
        <w:t>。</w:t>
      </w:r>
    </w:p>
    <w:sectPr w:rsidR="00482A97" w:rsidSect="00482A9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3B6F" w14:textId="77777777" w:rsidR="00D1071C" w:rsidRDefault="00D1071C" w:rsidP="00482A97">
      <w:r>
        <w:separator/>
      </w:r>
    </w:p>
  </w:endnote>
  <w:endnote w:type="continuationSeparator" w:id="0">
    <w:p w14:paraId="625CEE04" w14:textId="77777777" w:rsidR="00D1071C" w:rsidRDefault="00D1071C" w:rsidP="0048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952A" w14:textId="77777777" w:rsidR="00482A97" w:rsidRDefault="00482A97">
    <w:pPr>
      <w:pStyle w:val="a3"/>
      <w:jc w:val="center"/>
    </w:pPr>
    <w:r>
      <w:fldChar w:fldCharType="begin"/>
    </w:r>
    <w:r w:rsidR="00720AE8">
      <w:instrText xml:space="preserve"> PAGE   \* MERGEFORMAT </w:instrText>
    </w:r>
    <w:r>
      <w:fldChar w:fldCharType="separate"/>
    </w:r>
    <w:r w:rsidR="00344144" w:rsidRPr="00344144">
      <w:rPr>
        <w:noProof/>
        <w:lang w:val="zh-CN"/>
      </w:rPr>
      <w:t>1</w:t>
    </w:r>
    <w:r>
      <w:fldChar w:fldCharType="end"/>
    </w:r>
  </w:p>
  <w:p w14:paraId="16103FF5" w14:textId="77777777" w:rsidR="00482A97" w:rsidRDefault="00482A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5AAE" w14:textId="77777777" w:rsidR="00D1071C" w:rsidRDefault="00D1071C" w:rsidP="00482A97">
      <w:r>
        <w:separator/>
      </w:r>
    </w:p>
  </w:footnote>
  <w:footnote w:type="continuationSeparator" w:id="0">
    <w:p w14:paraId="2D3D2724" w14:textId="77777777" w:rsidR="00D1071C" w:rsidRDefault="00D1071C" w:rsidP="0048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BA"/>
    <w:rsid w:val="DBB6DE5E"/>
    <w:rsid w:val="F1BFEDAD"/>
    <w:rsid w:val="000362AE"/>
    <w:rsid w:val="000440F3"/>
    <w:rsid w:val="00055DCC"/>
    <w:rsid w:val="00067DAE"/>
    <w:rsid w:val="000B0284"/>
    <w:rsid w:val="000E1308"/>
    <w:rsid w:val="00190D59"/>
    <w:rsid w:val="00264168"/>
    <w:rsid w:val="00291EC0"/>
    <w:rsid w:val="002A16F9"/>
    <w:rsid w:val="002D4B8B"/>
    <w:rsid w:val="00344144"/>
    <w:rsid w:val="003817FA"/>
    <w:rsid w:val="003D5EEC"/>
    <w:rsid w:val="00437318"/>
    <w:rsid w:val="004774C8"/>
    <w:rsid w:val="00477F88"/>
    <w:rsid w:val="00482A97"/>
    <w:rsid w:val="004838EC"/>
    <w:rsid w:val="004973D3"/>
    <w:rsid w:val="004D2A12"/>
    <w:rsid w:val="004D33BA"/>
    <w:rsid w:val="004D7969"/>
    <w:rsid w:val="004F4481"/>
    <w:rsid w:val="00507F07"/>
    <w:rsid w:val="00523B86"/>
    <w:rsid w:val="00594503"/>
    <w:rsid w:val="005C4C58"/>
    <w:rsid w:val="005D6F5C"/>
    <w:rsid w:val="006748C3"/>
    <w:rsid w:val="006A3AFA"/>
    <w:rsid w:val="006D600C"/>
    <w:rsid w:val="006E5E6A"/>
    <w:rsid w:val="006E6D23"/>
    <w:rsid w:val="00720AE8"/>
    <w:rsid w:val="00722B96"/>
    <w:rsid w:val="007A3CA5"/>
    <w:rsid w:val="007D5332"/>
    <w:rsid w:val="0082664A"/>
    <w:rsid w:val="00854C60"/>
    <w:rsid w:val="008943A8"/>
    <w:rsid w:val="008A56D9"/>
    <w:rsid w:val="008C1307"/>
    <w:rsid w:val="008E4403"/>
    <w:rsid w:val="00957ED4"/>
    <w:rsid w:val="00985A7B"/>
    <w:rsid w:val="009C5752"/>
    <w:rsid w:val="009C7D9C"/>
    <w:rsid w:val="009F3A6E"/>
    <w:rsid w:val="00A03A81"/>
    <w:rsid w:val="00A116AE"/>
    <w:rsid w:val="00A16EFF"/>
    <w:rsid w:val="00A33FF2"/>
    <w:rsid w:val="00A526CC"/>
    <w:rsid w:val="00A67C36"/>
    <w:rsid w:val="00A73E24"/>
    <w:rsid w:val="00AA672E"/>
    <w:rsid w:val="00B02D0A"/>
    <w:rsid w:val="00B21F66"/>
    <w:rsid w:val="00B34EEB"/>
    <w:rsid w:val="00B42741"/>
    <w:rsid w:val="00B61B0F"/>
    <w:rsid w:val="00BD482B"/>
    <w:rsid w:val="00C0299A"/>
    <w:rsid w:val="00C94E2F"/>
    <w:rsid w:val="00CE51FB"/>
    <w:rsid w:val="00D06084"/>
    <w:rsid w:val="00D1071C"/>
    <w:rsid w:val="00D40DBF"/>
    <w:rsid w:val="00D8457E"/>
    <w:rsid w:val="00DB471E"/>
    <w:rsid w:val="00EA6580"/>
    <w:rsid w:val="00EB464E"/>
    <w:rsid w:val="00EB5A02"/>
    <w:rsid w:val="00EC16AC"/>
    <w:rsid w:val="00F8611E"/>
    <w:rsid w:val="00FB6FB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C9BDA"/>
  <w15:docId w15:val="{05176424-7452-4EAB-ACEF-68AC85BE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97"/>
    <w:pPr>
      <w:widowControl w:val="0"/>
      <w:jc w:val="both"/>
    </w:pPr>
    <w:rPr>
      <w:rFonts w:ascii="Calibri" w:eastAsia="宋体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2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8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82A9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2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411A3-8308-4E1F-9840-DF28AB63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 c</cp:lastModifiedBy>
  <cp:revision>65</cp:revision>
  <cp:lastPrinted>2021-12-22T11:14:00Z</cp:lastPrinted>
  <dcterms:created xsi:type="dcterms:W3CDTF">2021-12-21T14:20:00Z</dcterms:created>
  <dcterms:modified xsi:type="dcterms:W3CDTF">2022-01-07T04:50:00Z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