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6AC9" w14:textId="77777777" w:rsidR="005333D8" w:rsidRDefault="0055013D">
      <w:pPr>
        <w:pStyle w:val="PlainTex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</w:p>
    <w:p w14:paraId="2D95789D" w14:textId="77777777" w:rsidR="005333D8" w:rsidRDefault="0055013D">
      <w:pPr>
        <w:pStyle w:val="PlainText"/>
        <w:jc w:val="center"/>
        <w:rPr>
          <w:rStyle w:val="a7"/>
          <w:rFonts w:ascii="Times New Roman" w:eastAsia="方正小标宋简体" w:hAnsi="Times New Roman"/>
          <w:b w:val="0"/>
          <w:snapToGrid w:val="0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a7"/>
          <w:rFonts w:ascii="Times New Roman" w:eastAsia="方正小标宋简体" w:hAnsi="Times New Roman"/>
          <w:b w:val="0"/>
          <w:snapToGrid w:val="0"/>
          <w:color w:val="000000"/>
          <w:spacing w:val="-17"/>
          <w:kern w:val="0"/>
          <w:sz w:val="44"/>
          <w:szCs w:val="44"/>
          <w:shd w:val="clear" w:color="auto" w:fill="FFFFFF"/>
        </w:rPr>
        <w:t>浦东新区重点引进和培养法律服务人才分类表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5333D8" w14:paraId="384FBAD9" w14:textId="77777777">
        <w:trPr>
          <w:trHeight w:val="1599"/>
          <w:jc w:val="center"/>
        </w:trPr>
        <w:tc>
          <w:tcPr>
            <w:tcW w:w="2263" w:type="dxa"/>
            <w:vAlign w:val="center"/>
          </w:tcPr>
          <w:p w14:paraId="5A40DF79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领军型</w:t>
            </w:r>
          </w:p>
          <w:p w14:paraId="05CA06E4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（满足任意一项）</w:t>
            </w:r>
          </w:p>
        </w:tc>
        <w:tc>
          <w:tcPr>
            <w:tcW w:w="7230" w:type="dxa"/>
          </w:tcPr>
          <w:p w14:paraId="32771BD1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snapToGrid w:val="0"/>
                <w:color w:val="000000"/>
                <w:kern w:val="0"/>
                <w:sz w:val="25"/>
                <w:szCs w:val="25"/>
              </w:rPr>
              <w:t>1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近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10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年被司法部或全国律师协会评为全国优秀律师；</w:t>
            </w:r>
          </w:p>
          <w:p w14:paraId="1E72E33D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2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、司法部涉外法律服务人才入选名单；</w:t>
            </w:r>
          </w:p>
          <w:p w14:paraId="38846B7C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3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、东方大律师；</w:t>
            </w:r>
          </w:p>
          <w:p w14:paraId="4B1C4319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4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、达到</w:t>
            </w:r>
            <w:r>
              <w:rPr>
                <w:rStyle w:val="a7"/>
                <w:rFonts w:eastAsia="仿宋" w:hint="eastAsia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较大综合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贡献度；</w:t>
            </w:r>
          </w:p>
          <w:p w14:paraId="1646E1C3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5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、经推荐认定具有全国领先</w:t>
            </w:r>
            <w:r>
              <w:rPr>
                <w:rStyle w:val="a7"/>
                <w:rFonts w:eastAsia="仿宋" w:hint="eastAsia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水平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和国际竞争力的人才。</w:t>
            </w:r>
          </w:p>
        </w:tc>
      </w:tr>
      <w:tr w:rsidR="005333D8" w14:paraId="0CB0007A" w14:textId="77777777">
        <w:trPr>
          <w:trHeight w:val="2117"/>
          <w:jc w:val="center"/>
        </w:trPr>
        <w:tc>
          <w:tcPr>
            <w:tcW w:w="2263" w:type="dxa"/>
            <w:vAlign w:val="center"/>
          </w:tcPr>
          <w:p w14:paraId="65BFFBD5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拔尖型</w:t>
            </w:r>
          </w:p>
          <w:p w14:paraId="112D14E4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（满足任意一项）</w:t>
            </w:r>
          </w:p>
        </w:tc>
        <w:tc>
          <w:tcPr>
            <w:tcW w:w="7230" w:type="dxa"/>
          </w:tcPr>
          <w:p w14:paraId="098721A2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1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、近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10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年经省级司法行政部门或省级律师协会评为省级优秀律师；</w:t>
            </w:r>
          </w:p>
          <w:p w14:paraId="2021FD2D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2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、上海涉外法律服务人才库入选名单；</w:t>
            </w:r>
          </w:p>
          <w:p w14:paraId="52FA5919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3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、获评高级职称的律师、公证员；</w:t>
            </w:r>
          </w:p>
          <w:p w14:paraId="6939054C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4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、获评国家级司法鉴定专业类荣誉的优秀司法鉴定人；</w:t>
            </w:r>
          </w:p>
          <w:p w14:paraId="4B8D200E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5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、达到一定</w:t>
            </w:r>
            <w:r>
              <w:rPr>
                <w:rFonts w:eastAsia="仿宋" w:hint="eastAsia"/>
                <w:snapToGrid w:val="0"/>
                <w:color w:val="000000"/>
                <w:kern w:val="0"/>
                <w:sz w:val="25"/>
                <w:szCs w:val="25"/>
              </w:rPr>
              <w:t>综合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贡献度；</w:t>
            </w:r>
          </w:p>
          <w:p w14:paraId="0013A510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Fonts w:eastAsia="仿宋" w:hint="eastAsia"/>
                <w:snapToGrid w:val="0"/>
                <w:color w:val="000000"/>
                <w:kern w:val="0"/>
                <w:sz w:val="25"/>
                <w:szCs w:val="25"/>
              </w:rPr>
              <w:t>6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、经推荐认定具有杰出法律服务专长的人才。</w:t>
            </w:r>
          </w:p>
        </w:tc>
      </w:tr>
      <w:tr w:rsidR="005333D8" w14:paraId="79AECE51" w14:textId="77777777">
        <w:trPr>
          <w:trHeight w:val="4813"/>
          <w:jc w:val="center"/>
        </w:trPr>
        <w:tc>
          <w:tcPr>
            <w:tcW w:w="2263" w:type="dxa"/>
            <w:vAlign w:val="center"/>
          </w:tcPr>
          <w:p w14:paraId="570EFB7F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急需型</w:t>
            </w:r>
          </w:p>
          <w:p w14:paraId="74D320F4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（满足任意一项）</w:t>
            </w:r>
          </w:p>
        </w:tc>
        <w:tc>
          <w:tcPr>
            <w:tcW w:w="7230" w:type="dxa"/>
          </w:tcPr>
          <w:p w14:paraId="62A414E5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经推荐认定</w:t>
            </w:r>
            <w:r>
              <w:rPr>
                <w:rStyle w:val="a7"/>
                <w:rFonts w:eastAsia="仿宋" w:hint="eastAsia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的服务于以下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急需领域的法律服务人才：</w:t>
            </w:r>
          </w:p>
          <w:p w14:paraId="4BC27087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1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、国际经济合作领域，包括国际组织谈判、双边或多边经贸协定、政府投资协定谈判等；</w:t>
            </w:r>
          </w:p>
          <w:p w14:paraId="7D63D4FD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2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、国际贸易领域，包括反垄断、反倾销、反补贴及保障措施等；</w:t>
            </w:r>
          </w:p>
          <w:p w14:paraId="79EEE7F7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3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、跨境投资领域，包括境外绿地投资、跨境股权并购、跨境资产交易、境外设立法人或分支机构、反商业贿赂等；</w:t>
            </w:r>
          </w:p>
          <w:p w14:paraId="5D45EAE3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4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、国际金融与资本市场领域，包括跨境贷款、境外发债、境外上市、涉外基金、信托等；</w:t>
            </w:r>
          </w:p>
          <w:p w14:paraId="5E50DF8E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5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、涉外能源与基础设施领域，包括境外基础设施投资与建设、国际能源勘探与开发等；</w:t>
            </w:r>
          </w:p>
          <w:p w14:paraId="5F9D234D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6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、涉外海事海商领域；</w:t>
            </w:r>
          </w:p>
          <w:p w14:paraId="2A601D36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7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、打击跨国犯罪与追逃追赃领域，包括跨国毒品、洗钱、腐败、恐怖主义犯罪等；</w:t>
            </w:r>
          </w:p>
          <w:p w14:paraId="444D6B19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8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、涉外知识产权及信息安全领域；</w:t>
            </w:r>
          </w:p>
          <w:p w14:paraId="691266AF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9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、集成电路、生物医药、人工智能等产业领域；</w:t>
            </w:r>
          </w:p>
          <w:p w14:paraId="01FA4828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10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、其他浦东新区经济社会发展急需领域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的人才</w:t>
            </w:r>
            <w:r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  <w:t>。</w:t>
            </w:r>
          </w:p>
        </w:tc>
      </w:tr>
      <w:tr w:rsidR="005333D8" w14:paraId="420396BD" w14:textId="77777777">
        <w:trPr>
          <w:trHeight w:val="1551"/>
          <w:jc w:val="center"/>
        </w:trPr>
        <w:tc>
          <w:tcPr>
            <w:tcW w:w="2263" w:type="dxa"/>
            <w:vAlign w:val="center"/>
          </w:tcPr>
          <w:p w14:paraId="422DE493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高潜型</w:t>
            </w:r>
          </w:p>
          <w:p w14:paraId="75A6C293" w14:textId="77777777" w:rsidR="005333D8" w:rsidRDefault="0055013D">
            <w:pPr>
              <w:spacing w:line="400" w:lineRule="exact"/>
              <w:jc w:val="center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Style w:val="a7"/>
                <w:rFonts w:eastAsia="仿宋"/>
                <w:snapToGrid w:val="0"/>
                <w:color w:val="000000"/>
                <w:kern w:val="0"/>
                <w:sz w:val="26"/>
                <w:szCs w:val="26"/>
                <w:shd w:val="clear" w:color="auto" w:fill="FFFFFF"/>
              </w:rPr>
              <w:t>（满足任意一项）</w:t>
            </w:r>
          </w:p>
        </w:tc>
        <w:tc>
          <w:tcPr>
            <w:tcW w:w="7230" w:type="dxa"/>
          </w:tcPr>
          <w:p w14:paraId="1983862E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1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、境内外知名高校法学博士、法律博士，且年龄不超过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40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周岁；</w:t>
            </w:r>
          </w:p>
          <w:p w14:paraId="65BF4117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2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、获评中级职称的律师、公证员，且年龄不超过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40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周岁；</w:t>
            </w:r>
          </w:p>
          <w:p w14:paraId="7530F9E7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3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5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年内获评上海市优秀青年律师；</w:t>
            </w:r>
          </w:p>
          <w:p w14:paraId="72EFF7FE" w14:textId="77777777" w:rsidR="005333D8" w:rsidRDefault="0055013D">
            <w:pPr>
              <w:snapToGrid w:val="0"/>
              <w:spacing w:line="300" w:lineRule="exact"/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4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5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年内获评浦东新区十大杰出青年律师；</w:t>
            </w:r>
          </w:p>
          <w:p w14:paraId="7B09CCD2" w14:textId="77777777" w:rsidR="005333D8" w:rsidRDefault="0055013D">
            <w:pPr>
              <w:snapToGrid w:val="0"/>
              <w:spacing w:line="300" w:lineRule="exact"/>
              <w:rPr>
                <w:rStyle w:val="a7"/>
                <w:rFonts w:eastAsia="仿宋"/>
                <w:b w:val="0"/>
                <w:bCs/>
                <w:snapToGrid w:val="0"/>
                <w:color w:val="000000"/>
                <w:kern w:val="0"/>
                <w:sz w:val="25"/>
                <w:szCs w:val="25"/>
                <w:shd w:val="clear" w:color="auto" w:fill="FFFFFF"/>
              </w:rPr>
            </w:pP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5</w:t>
            </w:r>
            <w:r>
              <w:rPr>
                <w:rFonts w:eastAsia="仿宋"/>
                <w:snapToGrid w:val="0"/>
                <w:color w:val="000000"/>
                <w:kern w:val="0"/>
                <w:sz w:val="25"/>
                <w:szCs w:val="25"/>
              </w:rPr>
              <w:t>、经推荐认定具有较高成长潜力的人才。</w:t>
            </w:r>
          </w:p>
        </w:tc>
      </w:tr>
    </w:tbl>
    <w:p w14:paraId="1EBAB3A5" w14:textId="77777777" w:rsidR="005333D8" w:rsidRDefault="005333D8"/>
    <w:sectPr w:rsidR="005333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8BB6" w14:textId="77777777" w:rsidR="00AB4A1B" w:rsidRDefault="00AB4A1B">
      <w:r>
        <w:separator/>
      </w:r>
    </w:p>
  </w:endnote>
  <w:endnote w:type="continuationSeparator" w:id="0">
    <w:p w14:paraId="0AAC9DC1" w14:textId="77777777" w:rsidR="00AB4A1B" w:rsidRDefault="00AB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C754" w14:textId="77777777" w:rsidR="005333D8" w:rsidRDefault="005501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4CA9D" wp14:editId="33DDD7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4D9FF" w14:textId="77777777" w:rsidR="005333D8" w:rsidRDefault="0055013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4CA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094D9FF" w14:textId="77777777" w:rsidR="005333D8" w:rsidRDefault="0055013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BF7B1" w14:textId="77777777" w:rsidR="00AB4A1B" w:rsidRDefault="00AB4A1B">
      <w:r>
        <w:separator/>
      </w:r>
    </w:p>
  </w:footnote>
  <w:footnote w:type="continuationSeparator" w:id="0">
    <w:p w14:paraId="2E063D9F" w14:textId="77777777" w:rsidR="00AB4A1B" w:rsidRDefault="00AB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3Yzc5ZDExOTU0MzUwYzRkOGZkMTMyNTFiNGE0Y2IifQ=="/>
  </w:docVars>
  <w:rsids>
    <w:rsidRoot w:val="4E5E5A74"/>
    <w:rsid w:val="000F738E"/>
    <w:rsid w:val="00503D4C"/>
    <w:rsid w:val="005333D8"/>
    <w:rsid w:val="0055013D"/>
    <w:rsid w:val="00AB4A1B"/>
    <w:rsid w:val="00D96A69"/>
    <w:rsid w:val="04720FBA"/>
    <w:rsid w:val="4E5E5A74"/>
    <w:rsid w:val="746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6B207"/>
  <w15:docId w15:val="{3BA509ED-68FA-4DF7-955A-C5361FBD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line="600" w:lineRule="exact"/>
      <w:jc w:val="center"/>
      <w:outlineLvl w:val="0"/>
    </w:pPr>
    <w:rPr>
      <w:rFonts w:ascii="Cambria" w:eastAsia="仿宋_GB2312" w:hAnsi="Cambria"/>
      <w:b/>
      <w:kern w:val="0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Pr>
      <w:b/>
    </w:rPr>
  </w:style>
  <w:style w:type="paragraph" w:customStyle="1" w:styleId="PlainText">
    <w:name w:val="PlainText"/>
    <w:qFormat/>
    <w:pPr>
      <w:widowControl w:val="0"/>
      <w:jc w:val="both"/>
    </w:pPr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张力伟</dc:creator>
  <cp:lastModifiedBy>Talentcity</cp:lastModifiedBy>
  <cp:revision>4</cp:revision>
  <cp:lastPrinted>2023-01-19T01:16:00Z</cp:lastPrinted>
  <dcterms:created xsi:type="dcterms:W3CDTF">2023-01-18T06:57:00Z</dcterms:created>
  <dcterms:modified xsi:type="dcterms:W3CDTF">2023-01-28T05:46:00Z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8D7EABA24A4C49178EF4101FA93CC4E3</vt:lpwstr>
  </property>
</Properties>
</file>