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FEBA1" w14:textId="77777777" w:rsidR="001D5A81" w:rsidRDefault="001D5A81" w:rsidP="001D5A81">
      <w:pPr>
        <w:widowControl/>
        <w:autoSpaceDE w:val="0"/>
        <w:autoSpaceDN w:val="0"/>
        <w:adjustRightInd w:val="0"/>
        <w:spacing w:line="600" w:lineRule="exact"/>
        <w:rPr>
          <w:rFonts w:ascii="Helvetica" w:eastAsia="PingFang SC" w:hAnsi="Helvetica" w:cs="Helvetica"/>
          <w:color w:val="000000"/>
          <w:kern w:val="0"/>
          <w:sz w:val="32"/>
          <w:szCs w:val="32"/>
        </w:rPr>
      </w:pPr>
      <w:r>
        <w:rPr>
          <w:rFonts w:ascii="PingFang SC" w:eastAsia="PingFang SC" w:cs="PingFang SC" w:hint="eastAsia"/>
          <w:color w:val="000000"/>
          <w:kern w:val="0"/>
          <w:sz w:val="32"/>
          <w:szCs w:val="32"/>
        </w:rPr>
        <w:t>附件</w:t>
      </w:r>
      <w:r>
        <w:rPr>
          <w:rFonts w:ascii="Helvetica" w:eastAsia="PingFang SC" w:hAnsi="Helvetica" w:cs="Helvetica"/>
          <w:color w:val="000000"/>
          <w:kern w:val="0"/>
          <w:sz w:val="32"/>
          <w:szCs w:val="32"/>
        </w:rPr>
        <w:t>2</w:t>
      </w:r>
    </w:p>
    <w:p w14:paraId="12EF756E" w14:textId="77777777" w:rsidR="001D5A81" w:rsidRDefault="001D5A81" w:rsidP="001D5A81">
      <w:pPr>
        <w:widowControl/>
        <w:autoSpaceDE w:val="0"/>
        <w:autoSpaceDN w:val="0"/>
        <w:adjustRightInd w:val="0"/>
        <w:spacing w:line="600" w:lineRule="exact"/>
        <w:rPr>
          <w:rFonts w:ascii="Helvetica" w:eastAsia="PingFang SC" w:hAnsi="Helvetica" w:cs="Helvetica"/>
          <w:color w:val="000000"/>
          <w:kern w:val="0"/>
          <w:sz w:val="32"/>
          <w:szCs w:val="32"/>
        </w:rPr>
      </w:pPr>
    </w:p>
    <w:p w14:paraId="0778ACB2" w14:textId="77777777" w:rsidR="001D5A81" w:rsidRDefault="001D5A81" w:rsidP="001D5A81">
      <w:pPr>
        <w:widowControl/>
        <w:autoSpaceDE w:val="0"/>
        <w:autoSpaceDN w:val="0"/>
        <w:adjustRightInd w:val="0"/>
        <w:spacing w:line="600" w:lineRule="exact"/>
        <w:jc w:val="center"/>
        <w:rPr>
          <w:rFonts w:ascii="Arial Unicode MS" w:eastAsia="Arial Unicode MS" w:hAnsi="Helvetica" w:cs="Arial Unicode MS"/>
          <w:color w:val="000000"/>
          <w:kern w:val="0"/>
          <w:sz w:val="44"/>
          <w:szCs w:val="44"/>
        </w:rPr>
      </w:pPr>
      <w:r>
        <w:rPr>
          <w:rFonts w:ascii="Arial Unicode MS" w:eastAsia="Arial Unicode MS" w:hAnsi="Helvetica" w:cs="Arial Unicode MS" w:hint="eastAsia"/>
          <w:color w:val="000000"/>
          <w:kern w:val="0"/>
          <w:sz w:val="44"/>
          <w:szCs w:val="44"/>
        </w:rPr>
        <w:t>成果资助类项目申报细则</w:t>
      </w:r>
    </w:p>
    <w:p w14:paraId="3B85D0D4" w14:textId="77777777" w:rsidR="001D5A81" w:rsidRDefault="001D5A81" w:rsidP="001D5A81">
      <w:pPr>
        <w:widowControl/>
        <w:autoSpaceDE w:val="0"/>
        <w:autoSpaceDN w:val="0"/>
        <w:adjustRightInd w:val="0"/>
        <w:spacing w:line="600" w:lineRule="exact"/>
        <w:ind w:firstLine="640"/>
        <w:jc w:val="left"/>
        <w:rPr>
          <w:rFonts w:ascii="Courier" w:eastAsia="Arial Unicode MS" w:hAnsi="Courier" w:cs="Courier"/>
          <w:color w:val="000000"/>
          <w:kern w:val="0"/>
          <w:sz w:val="32"/>
          <w:szCs w:val="32"/>
        </w:rPr>
      </w:pPr>
    </w:p>
    <w:p w14:paraId="17A9164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项目申报单位须在本市注册登记，具备独立法人资格，财务管理规范，信用记录良好。其他申报条件详见各类别具体要求及申请表。</w:t>
      </w:r>
    </w:p>
    <w:p w14:paraId="4CC883A6"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一、文旅产业</w:t>
      </w:r>
    </w:p>
    <w:p w14:paraId="436F59B0"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（一）演艺</w:t>
      </w:r>
    </w:p>
    <w:p w14:paraId="21D07B5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支持重点和范围</w:t>
      </w:r>
    </w:p>
    <w:p w14:paraId="5619BB76"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支持剧场运营、演艺新空间发展及民营院团培育，持续提振演艺消费，重点关注演艺大世界、五大新城演出、驻场演出、数字演艺及文商旅体展融合发展项目。申报项目须在</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日至</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日期间实施（部分委托专业机构实施的搭建平台、专业服务项目除外）。</w:t>
      </w:r>
    </w:p>
    <w:p w14:paraId="34397070"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申报条件</w:t>
      </w:r>
    </w:p>
    <w:p w14:paraId="1A9B58F9"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）剧场演出资助：积极举办营业性演出，推动演出市场高质量发展，持有《演出场所经营单位备案证明》的专业剧场。</w:t>
      </w:r>
    </w:p>
    <w:p w14:paraId="54B10B9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）演艺新空间资助：</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年全年营业性演出场次较多、演出品质较好的演艺新空间。</w:t>
      </w:r>
    </w:p>
    <w:p w14:paraId="2716967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lastRenderedPageBreak/>
        <w:t>（</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）演艺消费发展资助：以演艺为核心，整合文化、旅游、商业、体育等优质资源，对提振消费、促进旅游、宣传城市具有积极作用的融合发展项目。</w:t>
      </w:r>
    </w:p>
    <w:p w14:paraId="289741AD"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）民营院团发展资助：积极践行习近平文化思想，专注创作与演出，</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年演出场次突出（含营业性演出）、票房收入较高，有重大主题创作和优秀新创剧目上演，积极参与市级展演、长三角巡演等活动，国内外市场反响良好的民营文艺表演团体。</w:t>
      </w:r>
    </w:p>
    <w:p w14:paraId="4DBF59A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（二）艺术品</w:t>
      </w:r>
    </w:p>
    <w:p w14:paraId="40DEF9F0"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支持重点和范围</w:t>
      </w:r>
    </w:p>
    <w:p w14:paraId="452754B6"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围绕上海国际艺术品交易周品牌打造，支持本地艺术博览会、画廊、艺术品拍卖行发展及交易周创新项目建设。申报主体为艺术品经营单位或本市相关文化机构、团体和组织。</w:t>
      </w:r>
    </w:p>
    <w:p w14:paraId="10E9B2D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申报条件</w:t>
      </w:r>
    </w:p>
    <w:p w14:paraId="707FC5F0"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）艺术博览会发展项目：具有一定覆盖面和影响力，有固定举办届次；参展画廊、艺术机构等在国内外具有一定知名度，展品艺术水准较高；优先支持上海国际艺术品交易周重点项目。</w:t>
      </w:r>
    </w:p>
    <w:p w14:paraId="70D9797A"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）画廊发展项目：以经纪代理制为主要经营模式，</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月期间，为代理或合作艺术家举办不少于</w:t>
      </w:r>
      <w:r>
        <w:rPr>
          <w:rFonts w:ascii="Courier" w:eastAsia="PingFang SC" w:hAnsi="Courier" w:cs="Courier"/>
          <w:color w:val="000000"/>
          <w:kern w:val="0"/>
          <w:sz w:val="32"/>
          <w:szCs w:val="32"/>
        </w:rPr>
        <w:t>5</w:t>
      </w:r>
      <w:r>
        <w:rPr>
          <w:rFonts w:ascii="PingFang SC" w:eastAsia="PingFang SC" w:hAnsi="Courier" w:cs="PingFang SC" w:hint="eastAsia"/>
          <w:color w:val="000000"/>
          <w:kern w:val="0"/>
          <w:sz w:val="32"/>
          <w:szCs w:val="32"/>
        </w:rPr>
        <w:t>场具有一定商业价值和艺术价值的专题展览（或参加至少</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场境外知名艺博会）；积极参与艺术普及或社区文化服务；优先支持上海国际艺术品交易周重点项目。</w:t>
      </w:r>
    </w:p>
    <w:p w14:paraId="62162FB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）艺术品拍卖行发展项目：每年定期举办艺术品拍卖活动，</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月期间在上海举办不少于</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场单场实际成交额超过</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亿元的高水准艺术品拍卖会；优先支持上海国际艺术品交易周重点项目。</w:t>
      </w:r>
    </w:p>
    <w:p w14:paraId="0832273A"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）交易周创新项目：参与第七届上海国际艺术品交易周主体活动，围绕活动主题打造，旨在扩大艺术消费、推动艺术品与旅游、时尚等领域跨界融合，且取得良好业界口碑和行业影响力的创新项目。</w:t>
      </w:r>
    </w:p>
    <w:p w14:paraId="07178D14"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（三）文化消费与文创产品开发</w:t>
      </w:r>
    </w:p>
    <w:p w14:paraId="2D8BE3CD"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支持重点和范围：支持建设业态集聚度高、融合文化展示、文娱旅游、国货</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潮品</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、文化</w:t>
      </w:r>
      <w:r>
        <w:rPr>
          <w:rFonts w:ascii="Courier" w:eastAsia="PingFang SC" w:hAnsi="Courier" w:cs="Courier"/>
          <w:color w:val="000000"/>
          <w:kern w:val="0"/>
          <w:sz w:val="32"/>
          <w:szCs w:val="32"/>
        </w:rPr>
        <w:t>IP</w:t>
      </w:r>
      <w:r>
        <w:rPr>
          <w:rFonts w:ascii="PingFang SC" w:eastAsia="PingFang SC" w:hAnsi="Courier" w:cs="PingFang SC" w:hint="eastAsia"/>
          <w:color w:val="000000"/>
          <w:kern w:val="0"/>
          <w:sz w:val="32"/>
          <w:szCs w:val="32"/>
        </w:rPr>
        <w:t>跨界融合、多元化消费场景等新的文化消费增长点的消费集聚区项目；支持建设市场前景良好、能激发消费潜能、多业态、氛围浓厚的夜间文化消费项目；支持文创产品设计开发、展示推广及交易平台搭建项目，鼓励开展相关节展赛活动，推动文化文物单位与社会主体合作开发生产文创产品。</w:t>
      </w:r>
    </w:p>
    <w:p w14:paraId="6AAEF767"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（四）动漫</w:t>
      </w:r>
    </w:p>
    <w:p w14:paraId="555612A4"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支持重点和范围</w:t>
      </w:r>
    </w:p>
    <w:p w14:paraId="621610D1"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）优秀动漫内容制作：支持原创动画、漫画及动漫原创</w:t>
      </w:r>
      <w:r>
        <w:rPr>
          <w:rFonts w:ascii="Courier" w:eastAsia="PingFang SC" w:hAnsi="Courier" w:cs="Courier"/>
          <w:color w:val="000000"/>
          <w:kern w:val="0"/>
          <w:sz w:val="32"/>
          <w:szCs w:val="32"/>
        </w:rPr>
        <w:t>IP</w:t>
      </w:r>
      <w:r>
        <w:rPr>
          <w:rFonts w:ascii="PingFang SC" w:eastAsia="PingFang SC" w:hAnsi="Courier" w:cs="PingFang SC" w:hint="eastAsia"/>
          <w:color w:val="000000"/>
          <w:kern w:val="0"/>
          <w:sz w:val="32"/>
          <w:szCs w:val="32"/>
        </w:rPr>
        <w:t>作品，鼓励围绕红色文化、海派文化、江南文化等中华优秀传统文化开展主题创作。</w:t>
      </w:r>
    </w:p>
    <w:p w14:paraId="039009B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）优秀动漫技术：支持依托前沿技术提升动漫制作品质、推动数字化开发应用的产品和项目，支持跨界合作、业态创新的产品和项目。</w:t>
      </w:r>
    </w:p>
    <w:p w14:paraId="47D107D2"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）动漫</w:t>
      </w:r>
      <w:r>
        <w:rPr>
          <w:rFonts w:ascii="Courier" w:eastAsia="PingFang SC" w:hAnsi="Courier" w:cs="Courier"/>
          <w:color w:val="000000"/>
          <w:kern w:val="0"/>
          <w:sz w:val="32"/>
          <w:szCs w:val="32"/>
        </w:rPr>
        <w:t>IP</w:t>
      </w:r>
      <w:r>
        <w:rPr>
          <w:rFonts w:ascii="PingFang SC" w:eastAsia="PingFang SC" w:hAnsi="Courier" w:cs="PingFang SC" w:hint="eastAsia"/>
          <w:color w:val="000000"/>
          <w:kern w:val="0"/>
          <w:sz w:val="32"/>
          <w:szCs w:val="32"/>
        </w:rPr>
        <w:t>衍生开发：支持使用自有或授权</w:t>
      </w:r>
      <w:r>
        <w:rPr>
          <w:rFonts w:ascii="Courier" w:eastAsia="PingFang SC" w:hAnsi="Courier" w:cs="Courier"/>
          <w:color w:val="000000"/>
          <w:kern w:val="0"/>
          <w:sz w:val="32"/>
          <w:szCs w:val="32"/>
        </w:rPr>
        <w:t>IP</w:t>
      </w:r>
      <w:r>
        <w:rPr>
          <w:rFonts w:ascii="PingFang SC" w:eastAsia="PingFang SC" w:hAnsi="Courier" w:cs="PingFang SC" w:hint="eastAsia"/>
          <w:color w:val="000000"/>
          <w:kern w:val="0"/>
          <w:sz w:val="32"/>
          <w:szCs w:val="32"/>
        </w:rPr>
        <w:t>开发、具备良好社会效益和经济效益的衍生项目。</w:t>
      </w:r>
    </w:p>
    <w:p w14:paraId="3925DD6E"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）动漫重大活动：支持在沪举办的动漫领域高质量节、展、演、赛等活动。</w:t>
      </w:r>
    </w:p>
    <w:p w14:paraId="7CAC8C24"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申报条件</w:t>
      </w:r>
    </w:p>
    <w:p w14:paraId="0289305A"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）申报单位须从事漫画、动画内容制作、分发和运营服务；从事电视动画（含网络电视动画）制作的企业，须持有《广播电视节目制作经营许可证》。</w:t>
      </w:r>
    </w:p>
    <w:p w14:paraId="64109621"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）动漫内容制作：申报纸质漫画和网络漫画的，须为</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年首印或首发，单个项目纸质漫画年度累计印数不低于</w:t>
      </w:r>
      <w:r>
        <w:rPr>
          <w:rFonts w:ascii="Courier" w:eastAsia="PingFang SC" w:hAnsi="Courier" w:cs="Courier"/>
          <w:color w:val="000000"/>
          <w:kern w:val="0"/>
          <w:sz w:val="32"/>
          <w:szCs w:val="32"/>
        </w:rPr>
        <w:t>50</w:t>
      </w:r>
      <w:r>
        <w:rPr>
          <w:rFonts w:ascii="PingFang SC" w:eastAsia="PingFang SC" w:hAnsi="Courier" w:cs="PingFang SC" w:hint="eastAsia"/>
          <w:color w:val="000000"/>
          <w:kern w:val="0"/>
          <w:sz w:val="32"/>
          <w:szCs w:val="32"/>
        </w:rPr>
        <w:t>万册，网络漫画年度收入不低于</w:t>
      </w:r>
      <w:r>
        <w:rPr>
          <w:rFonts w:ascii="Courier" w:eastAsia="PingFang SC" w:hAnsi="Courier" w:cs="Courier"/>
          <w:color w:val="000000"/>
          <w:kern w:val="0"/>
          <w:sz w:val="32"/>
          <w:szCs w:val="32"/>
        </w:rPr>
        <w:t>400</w:t>
      </w:r>
      <w:r>
        <w:rPr>
          <w:rFonts w:ascii="PingFang SC" w:eastAsia="PingFang SC" w:hAnsi="Courier" w:cs="PingFang SC" w:hint="eastAsia"/>
          <w:color w:val="000000"/>
          <w:kern w:val="0"/>
          <w:sz w:val="32"/>
          <w:szCs w:val="32"/>
        </w:rPr>
        <w:t>万元；申报电视动画和网络动画的，须在本市备案公示（立项），电视动画</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年在央视或省级卫视黄金时间首播（优先支持</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年国家广电总局推荐的优秀国产电视动画片），网络动画</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年首次在网络发布且年度收入不低于</w:t>
      </w:r>
      <w:r>
        <w:rPr>
          <w:rFonts w:ascii="Courier" w:eastAsia="PingFang SC" w:hAnsi="Courier" w:cs="Courier"/>
          <w:color w:val="000000"/>
          <w:kern w:val="0"/>
          <w:sz w:val="32"/>
          <w:szCs w:val="32"/>
        </w:rPr>
        <w:t>500</w:t>
      </w:r>
      <w:r>
        <w:rPr>
          <w:rFonts w:ascii="PingFang SC" w:eastAsia="PingFang SC" w:hAnsi="Courier" w:cs="PingFang SC" w:hint="eastAsia"/>
          <w:color w:val="000000"/>
          <w:kern w:val="0"/>
          <w:sz w:val="32"/>
          <w:szCs w:val="32"/>
        </w:rPr>
        <w:t>万元；需提供项目专项审计报告和佐证材料。</w:t>
      </w:r>
    </w:p>
    <w:p w14:paraId="6B5C5AF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）动漫技术：有助于提升内容品质，对行业发展具有良好示范作用的项目；需提供项目说明、相关财务报表、专项审计报告及相关专利权、软著、合同等证明材料。</w:t>
      </w:r>
    </w:p>
    <w:p w14:paraId="511B7513"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）动漫</w:t>
      </w:r>
      <w:r>
        <w:rPr>
          <w:rFonts w:ascii="Courier" w:eastAsia="PingFang SC" w:hAnsi="Courier" w:cs="Courier"/>
          <w:color w:val="000000"/>
          <w:kern w:val="0"/>
          <w:sz w:val="32"/>
          <w:szCs w:val="32"/>
        </w:rPr>
        <w:t>IP</w:t>
      </w:r>
      <w:r>
        <w:rPr>
          <w:rFonts w:ascii="PingFang SC" w:eastAsia="PingFang SC" w:hAnsi="Courier" w:cs="PingFang SC" w:hint="eastAsia"/>
          <w:color w:val="000000"/>
          <w:kern w:val="0"/>
          <w:sz w:val="32"/>
          <w:szCs w:val="32"/>
        </w:rPr>
        <w:t>衍生开发：使用自有（或授权）</w:t>
      </w:r>
      <w:r>
        <w:rPr>
          <w:rFonts w:ascii="Courier" w:eastAsia="PingFang SC" w:hAnsi="Courier" w:cs="Courier"/>
          <w:color w:val="000000"/>
          <w:kern w:val="0"/>
          <w:sz w:val="32"/>
          <w:szCs w:val="32"/>
        </w:rPr>
        <w:t>IP</w:t>
      </w:r>
      <w:r>
        <w:rPr>
          <w:rFonts w:ascii="PingFang SC" w:eastAsia="PingFang SC" w:hAnsi="Courier" w:cs="PingFang SC" w:hint="eastAsia"/>
          <w:color w:val="000000"/>
          <w:kern w:val="0"/>
          <w:sz w:val="32"/>
          <w:szCs w:val="32"/>
        </w:rPr>
        <w:t>开发的衍生商业项目；需提供项目说明、相关财务报表、专项审计报告及相关专利权、软著、合同等证明材料。</w:t>
      </w:r>
    </w:p>
    <w:p w14:paraId="256739BD"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5</w:t>
      </w:r>
      <w:r>
        <w:rPr>
          <w:rFonts w:ascii="PingFang SC" w:eastAsia="PingFang SC" w:hAnsi="Courier" w:cs="PingFang SC" w:hint="eastAsia"/>
          <w:color w:val="000000"/>
          <w:kern w:val="0"/>
          <w:sz w:val="32"/>
          <w:szCs w:val="32"/>
        </w:rPr>
        <w:t>）动漫重大活动：由在沪合法主体合规举办的动漫主题活动；需提交活动相关报备文件、项目情况介绍、专项审计报告及媒体剪报等材料。</w:t>
      </w:r>
    </w:p>
    <w:p w14:paraId="041EC75A"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（五）网络视听</w:t>
      </w:r>
    </w:p>
    <w:p w14:paraId="2BD28A4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支持重点和范围</w:t>
      </w:r>
    </w:p>
    <w:p w14:paraId="4710BE8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）优秀网络视听内容制作：支持网络视听内容精品，包括网络剧、网络视听专业节目（含网络纪录片、网络综艺、网络音频节目、系列短视频等）。</w:t>
      </w:r>
    </w:p>
    <w:p w14:paraId="686A4C5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）网络视听活动：支持在沪举办的具有广泛影响力、能带动产业发展的网络视听领域活动。</w:t>
      </w:r>
    </w:p>
    <w:p w14:paraId="50FF4C6B"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申报条件</w:t>
      </w:r>
    </w:p>
    <w:p w14:paraId="6D23822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）从事网络视听内容制作的机构，须持有《广播电视节目制作经营许可证》或《信息网络传播视听节目许可证》。</w:t>
      </w:r>
    </w:p>
    <w:p w14:paraId="064517D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）网络视听专业节目、网络剧须于</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年在网络平台完成播出；网络剧须在本市取得发行许可证，网络视听专业节目（含网络综艺、网络纪录片、网络音频节目、系列短视频等）须为本市制作机构制作，申报方非出品方的，需提供申报授权证明。</w:t>
      </w:r>
    </w:p>
    <w:p w14:paraId="23B06EB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）网络视听活动须于</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日前在上海完成举办。</w:t>
      </w:r>
    </w:p>
    <w:p w14:paraId="42954E7B"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（六）文化服务出口贸易</w:t>
      </w:r>
    </w:p>
    <w:p w14:paraId="74F0AE41"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支持重点和范围</w:t>
      </w:r>
    </w:p>
    <w:p w14:paraId="5059F131"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支持动漫、艺术品、演艺、视听节目（含电视剧、综艺节目、纪录片）等弘扬中华民族优秀传统文化的产品与服务，在海外开展交易、演出、播映、商展等文化贸易出口项目。</w:t>
      </w:r>
    </w:p>
    <w:p w14:paraId="2586CF20"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申报条件</w:t>
      </w:r>
    </w:p>
    <w:p w14:paraId="3FC4CEC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）动漫：出口的优秀动漫形象和内容，</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年度出口额不低于</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万美元，或版权和衍生品出口额不低于</w:t>
      </w:r>
      <w:r>
        <w:rPr>
          <w:rFonts w:ascii="Courier" w:eastAsia="PingFang SC" w:hAnsi="Courier" w:cs="Courier"/>
          <w:color w:val="000000"/>
          <w:kern w:val="0"/>
          <w:sz w:val="32"/>
          <w:szCs w:val="32"/>
        </w:rPr>
        <w:t>5</w:t>
      </w:r>
      <w:r>
        <w:rPr>
          <w:rFonts w:ascii="PingFang SC" w:eastAsia="PingFang SC" w:hAnsi="Courier" w:cs="PingFang SC" w:hint="eastAsia"/>
          <w:color w:val="000000"/>
          <w:kern w:val="0"/>
          <w:sz w:val="32"/>
          <w:szCs w:val="32"/>
        </w:rPr>
        <w:t>万美元。</w:t>
      </w:r>
    </w:p>
    <w:p w14:paraId="7C3E4F9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）艺术品：体现较高文化附加值的艺术品、文博展览和非遗产品等海外交易、商展，</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年度出口额不低于</w:t>
      </w:r>
      <w:r>
        <w:rPr>
          <w:rFonts w:ascii="Courier" w:eastAsia="PingFang SC" w:hAnsi="Courier" w:cs="Courier"/>
          <w:color w:val="000000"/>
          <w:kern w:val="0"/>
          <w:sz w:val="32"/>
          <w:szCs w:val="32"/>
        </w:rPr>
        <w:t>20</w:t>
      </w:r>
      <w:r>
        <w:rPr>
          <w:rFonts w:ascii="PingFang SC" w:eastAsia="PingFang SC" w:hAnsi="Courier" w:cs="PingFang SC" w:hint="eastAsia"/>
          <w:color w:val="000000"/>
          <w:kern w:val="0"/>
          <w:sz w:val="32"/>
          <w:szCs w:val="32"/>
        </w:rPr>
        <w:t>万美元，或海外商展收入不低于</w:t>
      </w:r>
      <w:r>
        <w:rPr>
          <w:rFonts w:ascii="Courier" w:eastAsia="PingFang SC" w:hAnsi="Courier" w:cs="Courier"/>
          <w:color w:val="000000"/>
          <w:kern w:val="0"/>
          <w:sz w:val="32"/>
          <w:szCs w:val="32"/>
        </w:rPr>
        <w:t>5</w:t>
      </w:r>
      <w:r>
        <w:rPr>
          <w:rFonts w:ascii="PingFang SC" w:eastAsia="PingFang SC" w:hAnsi="Courier" w:cs="PingFang SC" w:hint="eastAsia"/>
          <w:color w:val="000000"/>
          <w:kern w:val="0"/>
          <w:sz w:val="32"/>
          <w:szCs w:val="32"/>
        </w:rPr>
        <w:t>万美元。</w:t>
      </w:r>
    </w:p>
    <w:p w14:paraId="7D800169"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）演艺：体现中华文化特色、具备较高艺术水平和一定国际市场影响力的演艺及相关服务（含剧本输出），</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年度出口额不低于</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万美元。</w:t>
      </w:r>
    </w:p>
    <w:p w14:paraId="32C303C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）视听节目：积极与国外广播影视机构合作、在境外播映和宣传效果突出的电视剧、综艺节目、纪录片等，</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年度出口额不低于</w:t>
      </w:r>
      <w:r>
        <w:rPr>
          <w:rFonts w:ascii="Courier" w:eastAsia="PingFang SC" w:hAnsi="Courier" w:cs="Courier"/>
          <w:color w:val="000000"/>
          <w:kern w:val="0"/>
          <w:sz w:val="32"/>
          <w:szCs w:val="32"/>
        </w:rPr>
        <w:t>30</w:t>
      </w:r>
      <w:r>
        <w:rPr>
          <w:rFonts w:ascii="PingFang SC" w:eastAsia="PingFang SC" w:hAnsi="Courier" w:cs="PingFang SC" w:hint="eastAsia"/>
          <w:color w:val="000000"/>
          <w:kern w:val="0"/>
          <w:sz w:val="32"/>
          <w:szCs w:val="32"/>
        </w:rPr>
        <w:t>万美元。</w:t>
      </w:r>
    </w:p>
    <w:p w14:paraId="7E746252"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二、新闻出版</w:t>
      </w:r>
    </w:p>
    <w:p w14:paraId="51ECE81D"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（一）支持重点和范围</w:t>
      </w:r>
    </w:p>
    <w:p w14:paraId="089171F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图书出版</w:t>
      </w:r>
    </w:p>
    <w:p w14:paraId="4ECE950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）图书出版（图书类、音像类）</w:t>
      </w:r>
    </w:p>
    <w:p w14:paraId="66382E7E"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w:t>
      </w:r>
    </w:p>
    <w:p w14:paraId="145C88C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a.</w:t>
      </w:r>
      <w:r>
        <w:rPr>
          <w:rFonts w:ascii="PingFang SC" w:eastAsia="PingFang SC" w:hAnsi="Courier" w:cs="PingFang SC" w:hint="eastAsia"/>
          <w:color w:val="000000"/>
          <w:kern w:val="0"/>
          <w:sz w:val="32"/>
          <w:szCs w:val="32"/>
        </w:rPr>
        <w:t>宣传阐释党的创新理论、培育和践行社会主义核心价值观、构建中国哲学社会科学自主知识体系、深化区域国别学研究的优秀主题出版物；</w:t>
      </w:r>
    </w:p>
    <w:p w14:paraId="3CF79DB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b.</w:t>
      </w:r>
      <w:r>
        <w:rPr>
          <w:rFonts w:ascii="PingFang SC" w:eastAsia="PingFang SC" w:hAnsi="Courier" w:cs="PingFang SC" w:hint="eastAsia"/>
          <w:color w:val="000000"/>
          <w:kern w:val="0"/>
          <w:sz w:val="32"/>
          <w:szCs w:val="32"/>
        </w:rPr>
        <w:t>着眼</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第二个结合</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、聚焦中华文明标识性体系建设、加强中华优秀典籍整理研究和时代阐释的优秀古籍出版物；</w:t>
      </w:r>
    </w:p>
    <w:p w14:paraId="026B7A5D"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c.</w:t>
      </w:r>
      <w:r>
        <w:rPr>
          <w:rFonts w:ascii="PingFang SC" w:eastAsia="PingFang SC" w:hAnsi="Courier" w:cs="PingFang SC" w:hint="eastAsia"/>
          <w:color w:val="000000"/>
          <w:kern w:val="0"/>
          <w:sz w:val="32"/>
          <w:szCs w:val="32"/>
        </w:rPr>
        <w:t>服务科技强国建设，聚焦科技创新全链条部署全领域布局、凝练基础研究关键科学问题的优秀科技出版物；</w:t>
      </w:r>
    </w:p>
    <w:p w14:paraId="7041EA52"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d.</w:t>
      </w:r>
      <w:r>
        <w:rPr>
          <w:rFonts w:ascii="PingFang SC" w:eastAsia="PingFang SC" w:hAnsi="Courier" w:cs="PingFang SC" w:hint="eastAsia"/>
          <w:color w:val="000000"/>
          <w:kern w:val="0"/>
          <w:sz w:val="32"/>
          <w:szCs w:val="32"/>
        </w:rPr>
        <w:t>原创性、前沿性学术著作，新大众文艺、网络文学作品，对文明传承发展具有重要意义或填补领域空白的冷门绝学出版工程；</w:t>
      </w:r>
    </w:p>
    <w:p w14:paraId="2BC72FE6"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e.</w:t>
      </w:r>
      <w:r>
        <w:rPr>
          <w:rFonts w:ascii="PingFang SC" w:eastAsia="PingFang SC" w:hAnsi="Courier" w:cs="PingFang SC" w:hint="eastAsia"/>
          <w:color w:val="000000"/>
          <w:kern w:val="0"/>
          <w:sz w:val="32"/>
          <w:szCs w:val="32"/>
        </w:rPr>
        <w:t>聚焦主旋律、兼具学术深度与传播价值、弘扬科学精神与普及科学知识的大众原创精品（尤其提倡</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大家写小书</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w:t>
      </w:r>
    </w:p>
    <w:p w14:paraId="13854886"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）图书出版（上海学术</w:t>
      </w:r>
      <w:r>
        <w:rPr>
          <w:rFonts w:ascii="SimSong" w:eastAsia="SimSong" w:hAnsi="Courier" w:cs="SimSong" w:hint="eastAsia"/>
          <w:color w:val="000000"/>
          <w:kern w:val="0"/>
          <w:sz w:val="32"/>
          <w:szCs w:val="32"/>
        </w:rPr>
        <w:t>·</w:t>
      </w:r>
      <w:r>
        <w:rPr>
          <w:rFonts w:ascii="PingFang SC" w:eastAsia="PingFang SC" w:hAnsi="Courier" w:cs="PingFang SC" w:hint="eastAsia"/>
          <w:color w:val="000000"/>
          <w:kern w:val="0"/>
          <w:sz w:val="32"/>
          <w:szCs w:val="32"/>
        </w:rPr>
        <w:t>专业出版中心）</w:t>
      </w:r>
    </w:p>
    <w:p w14:paraId="7B3BF87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某一领域处于全国一流水准、能代表上海和国家水平的学术出版中心或专业出版中心；申报中心须拥有相对稳定的建制队伍、人才结构，制订目标明确、特色鲜明的中长期发展规划；具有专业集中的稳定产品线，持续推出广泛影响力的精品力作；已获资助的出版中心须对照评估办法同时提交项目中期考核材料。</w:t>
      </w:r>
    </w:p>
    <w:p w14:paraId="46B811D9"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）图书出版（优秀图书出版品牌）</w:t>
      </w:r>
    </w:p>
    <w:p w14:paraId="1E918E39"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凸现专业优势、有一定市场品牌影响力和发展前景的上海图书出版品牌；申报品牌定位明确、规划清晰，编辑团队稳定，在读者中获得较好品牌认可和价值认同，具有醒目名称或独立标识，装帧设计风格统一。</w:t>
      </w:r>
    </w:p>
    <w:p w14:paraId="5109D2C2"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期刊出版</w:t>
      </w:r>
    </w:p>
    <w:p w14:paraId="00E7433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重点支持：聚焦习近平文化思想最佳实践地建设，新创办且符合上海科创中心建设需求的科技期刊，能显著提升刊物国内外专业、学术地位或影响力的科技期刊，优秀社科期刊质量和影响力提升项目，</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年在国际</w:t>
      </w:r>
      <w:r>
        <w:rPr>
          <w:rFonts w:ascii="Courier" w:eastAsia="PingFang SC" w:hAnsi="Courier" w:cs="Courier"/>
          <w:color w:val="000000"/>
          <w:kern w:val="0"/>
          <w:sz w:val="32"/>
          <w:szCs w:val="32"/>
        </w:rPr>
        <w:t>SCI</w:t>
      </w: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SSCI</w:t>
      </w:r>
      <w:r>
        <w:rPr>
          <w:rFonts w:ascii="PingFang SC" w:eastAsia="PingFang SC" w:hAnsi="Courier" w:cs="PingFang SC" w:hint="eastAsia"/>
          <w:color w:val="000000"/>
          <w:kern w:val="0"/>
          <w:sz w:val="32"/>
          <w:szCs w:val="32"/>
        </w:rPr>
        <w:t>、</w:t>
      </w:r>
      <w:r>
        <w:rPr>
          <w:rFonts w:ascii="Courier" w:eastAsia="PingFang SC" w:hAnsi="Courier" w:cs="Courier"/>
          <w:color w:val="000000"/>
          <w:kern w:val="0"/>
          <w:sz w:val="32"/>
          <w:szCs w:val="32"/>
        </w:rPr>
        <w:t>EI</w:t>
      </w:r>
      <w:r>
        <w:rPr>
          <w:rFonts w:ascii="PingFang SC" w:eastAsia="PingFang SC" w:hAnsi="Courier" w:cs="PingFang SC" w:hint="eastAsia"/>
          <w:color w:val="000000"/>
          <w:kern w:val="0"/>
          <w:sz w:val="32"/>
          <w:szCs w:val="32"/>
        </w:rPr>
        <w:t>等检索系统及国内认可的期刊评价系统中排名较</w:t>
      </w:r>
      <w:r>
        <w:rPr>
          <w:rFonts w:ascii="Courier" w:eastAsia="PingFang SC" w:hAnsi="Courier" w:cs="Courier"/>
          <w:color w:val="000000"/>
          <w:kern w:val="0"/>
          <w:sz w:val="32"/>
          <w:szCs w:val="32"/>
        </w:rPr>
        <w:t>2024</w:t>
      </w:r>
      <w:r>
        <w:rPr>
          <w:rFonts w:ascii="PingFang SC" w:eastAsia="PingFang SC" w:hAnsi="Courier" w:cs="PingFang SC" w:hint="eastAsia"/>
          <w:color w:val="000000"/>
          <w:kern w:val="0"/>
          <w:sz w:val="32"/>
          <w:szCs w:val="32"/>
        </w:rPr>
        <w:t>年有明显进步的期刊。</w:t>
      </w:r>
    </w:p>
    <w:p w14:paraId="4309FCDB"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发行渠道</w:t>
      </w:r>
    </w:p>
    <w:p w14:paraId="713624AA"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新增网点建设（在城市副中心、五个新城、大型商场、机场、高铁站以及有流量的商业设施等符合本市发行网点规划布局的区域开设新书店）；数字化转型（建设数字发行平台，利用数字化技术发展智能书店，实施</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互联网</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构建数字阅读内容供给新模式，实现线下线上融合）；专业书业节展（承办特色书业节展，或借助本市大型书业展会平台打造推广沪版图书子品牌，拉动文化消费）；出版物发行园区建设（打造集阅读学习、展示交流、创意生活、休闲聚会为一体的发行园区）；重点品牌建设（打造多元书报刊发行渠道，进行品牌化、连锁化、规模化发展）；多业态融合（探索馆店结合、场店结合、院店结合等</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书店</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模式，实现跨领域、跨行业发展）；二手书店（打造线上线下复合型运营的书籍循环共享新模式，深挖二手图书价值，拓展流通细分渠道，举办有品牌影响力的旧书市集）；参与公共文化服务（有条件的实体书店参与公共文化服务网络和公共阅读资源建设，与公共文化机构融合发展）。</w:t>
      </w:r>
    </w:p>
    <w:p w14:paraId="45298186"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印刷产业</w:t>
      </w:r>
    </w:p>
    <w:p w14:paraId="645ABD9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保障中小学教材印制（入选《上海市中小学教材印制企业推荐名录》的企业提升印制质量、产能及相关管理水平）；绿色化技术改造（深度开展绿色化技术改造，自主研发技术改造及装备投入，推动生态环境改善）；数字化改造（生产装备数字化改造，推动印刷关键核心技术创新，向</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专精特新</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方向发展）；智能化建设（探索智能化发展，推动智能工厂和数字化车间建设，扶持印刷智能制造示范工程）；融合化建设（推动上、下游融合转型，从生产加工向综合服务转变）；长三角印刷业数字化贯通产业集群（面向本市及长三角地区，推动先进产业集群建设）。</w:t>
      </w:r>
    </w:p>
    <w:p w14:paraId="0827D70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5.</w:t>
      </w:r>
      <w:r>
        <w:rPr>
          <w:rFonts w:ascii="PingFang SC" w:eastAsia="PingFang SC" w:hAnsi="Courier" w:cs="PingFang SC" w:hint="eastAsia"/>
          <w:color w:val="000000"/>
          <w:kern w:val="0"/>
          <w:sz w:val="32"/>
          <w:szCs w:val="32"/>
        </w:rPr>
        <w:t>全民阅读品牌活动</w:t>
      </w:r>
    </w:p>
    <w:p w14:paraId="7B7199A2"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主题阅读（举办学习宣传贯彻习近平新时代中国特色社会主义思想、落实党中央及市委市政府精神的主题阅读活动）；特色阅读服务（连续开展三年以上、社会效益与经济效益并重，推进全民阅读进机关、进社区、进学校、进企业、进村镇、进楼宇及面向特殊群体的分众化阅读活动）；品牌阅读活动（实体书店、读书会、有资质的社会机构组织品牌阅读活动，扩大</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阅读</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内涵，延伸活动辐射面和影响力）；阅读推广培育（阅读机构通过多种渠道和形式开展阅读指导和培训，提升阅读推广志愿服务队伍专业素养）。</w:t>
      </w:r>
    </w:p>
    <w:p w14:paraId="501FD77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6.</w:t>
      </w:r>
      <w:r>
        <w:rPr>
          <w:rFonts w:ascii="PingFang SC" w:eastAsia="PingFang SC" w:hAnsi="Courier" w:cs="PingFang SC" w:hint="eastAsia"/>
          <w:color w:val="000000"/>
          <w:kern w:val="0"/>
          <w:sz w:val="32"/>
          <w:szCs w:val="32"/>
        </w:rPr>
        <w:t>网络出版</w:t>
      </w:r>
    </w:p>
    <w:p w14:paraId="709A7ECB"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重点支持：融合出版优质内容开发及模式创新示范展示，国家出版融合发展工程入选项目；原创优秀网络文学作品；网络文学现实题材、科幻题材征文大赛举办；</w:t>
      </w:r>
      <w:r>
        <w:rPr>
          <w:rFonts w:ascii="SimSong" w:eastAsia="SimSong" w:hAnsi="Courier" w:cs="SimSong" w:hint="eastAsia"/>
          <w:color w:val="000000"/>
          <w:kern w:val="0"/>
          <w:sz w:val="32"/>
          <w:szCs w:val="32"/>
        </w:rPr>
        <w:t>“</w:t>
      </w:r>
      <w:r>
        <w:rPr>
          <w:rFonts w:ascii="PingFang SC" w:eastAsia="PingFang SC" w:hAnsi="Courier" w:cs="PingFang SC" w:hint="eastAsia"/>
          <w:color w:val="000000"/>
          <w:kern w:val="0"/>
          <w:sz w:val="32"/>
          <w:szCs w:val="32"/>
        </w:rPr>
        <w:t>网络文学精品出版工程</w:t>
      </w:r>
      <w:r>
        <w:rPr>
          <w:rFonts w:ascii="SimSong" w:eastAsia="SimSong" w:hAnsi="Courier" w:cs="SimSong" w:hint="eastAsia"/>
          <w:color w:val="000000"/>
          <w:kern w:val="0"/>
          <w:sz w:val="32"/>
          <w:szCs w:val="32"/>
        </w:rPr>
        <w:t>”</w:t>
      </w:r>
      <w:r>
        <w:rPr>
          <w:rFonts w:ascii="PingFang SC" w:eastAsia="PingFang SC" w:hAnsi="Courier" w:cs="PingFang SC" w:hint="eastAsia"/>
          <w:color w:val="000000"/>
          <w:kern w:val="0"/>
          <w:sz w:val="32"/>
          <w:szCs w:val="32"/>
        </w:rPr>
        <w:t>入选作品、出版政府奖等国家级奖项获奖作品；中华优秀传统文化网络出版产品走出去、海外传播及国际表达；网络出版关键技术研发及应用；网络文学行业生态研究。</w:t>
      </w:r>
    </w:p>
    <w:p w14:paraId="71FF2E46"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7.</w:t>
      </w:r>
      <w:r>
        <w:rPr>
          <w:rFonts w:ascii="PingFang SC" w:eastAsia="PingFang SC" w:hAnsi="Courier" w:cs="PingFang SC" w:hint="eastAsia"/>
          <w:color w:val="000000"/>
          <w:kern w:val="0"/>
          <w:sz w:val="32"/>
          <w:szCs w:val="32"/>
        </w:rPr>
        <w:t>版权产业与国际传播</w:t>
      </w:r>
    </w:p>
    <w:p w14:paraId="659F2F6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国家版权创新发展基地（上海浦东新区）、国家版权贸易基地（上海）建设；民间文艺版权保护与促进试点项目；图书版权输出优秀项目；版权创造、保护、运用、管理、宣传和服务等领域的优秀项目；拓展出版物海外（含港澳台地区）主流销售渠道，参评国际书业重要奖项；各类出版物出口及优秀作品对外推介、翻译出版，面向海外市场的外文版出版物，与周边国家和</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一带一路</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沿线国家的交流与合作；参加国际书展，打造多元化、高品质国际出版品牌活动，国际出版创新协作共同体建设等。</w:t>
      </w:r>
    </w:p>
    <w:p w14:paraId="26EBA6D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（二）申报条件</w:t>
      </w:r>
    </w:p>
    <w:p w14:paraId="396C6710"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图书出版</w:t>
      </w:r>
    </w:p>
    <w:p w14:paraId="0EBAAC4E"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申报条件：具备图书、音像制品、电子出版物出版许可证的出版单位；图书出版（图书类、音像类）在出版环节已获得市级专项资金资助的项目不予资助，各出版单位申报总数不超过</w:t>
      </w:r>
      <w:r>
        <w:rPr>
          <w:rFonts w:ascii="Courier" w:eastAsia="PingFang SC" w:hAnsi="Courier" w:cs="Courier"/>
          <w:color w:val="000000"/>
          <w:kern w:val="0"/>
          <w:sz w:val="32"/>
          <w:szCs w:val="32"/>
        </w:rPr>
        <w:t>6</w:t>
      </w:r>
      <w:r>
        <w:rPr>
          <w:rFonts w:ascii="PingFang SC" w:eastAsia="PingFang SC" w:hAnsi="Courier" w:cs="PingFang SC" w:hint="eastAsia"/>
          <w:color w:val="000000"/>
          <w:kern w:val="0"/>
          <w:sz w:val="32"/>
          <w:szCs w:val="32"/>
        </w:rPr>
        <w:t>项（其中未出版项目成稿率须在</w:t>
      </w:r>
      <w:r>
        <w:rPr>
          <w:rFonts w:ascii="Courier" w:eastAsia="PingFang SC" w:hAnsi="Courier" w:cs="Courier"/>
          <w:color w:val="000000"/>
          <w:kern w:val="0"/>
          <w:sz w:val="32"/>
          <w:szCs w:val="32"/>
        </w:rPr>
        <w:t>75%</w:t>
      </w:r>
      <w:r>
        <w:rPr>
          <w:rFonts w:ascii="PingFang SC" w:eastAsia="PingFang SC" w:hAnsi="Courier" w:cs="PingFang SC" w:hint="eastAsia"/>
          <w:color w:val="000000"/>
          <w:kern w:val="0"/>
          <w:sz w:val="32"/>
          <w:szCs w:val="32"/>
        </w:rPr>
        <w:t>以上，提交书稿样盘，结项时间不晚于</w:t>
      </w:r>
      <w:r>
        <w:rPr>
          <w:rFonts w:ascii="Courier" w:eastAsia="PingFang SC" w:hAnsi="Courier" w:cs="Courier"/>
          <w:color w:val="000000"/>
          <w:kern w:val="0"/>
          <w:sz w:val="32"/>
          <w:szCs w:val="32"/>
        </w:rPr>
        <w:t>2027</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日），已出版项目须在</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日至</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日期间出版，大众原创作品须在</w:t>
      </w:r>
      <w:r>
        <w:rPr>
          <w:rFonts w:ascii="Courier" w:eastAsia="PingFang SC" w:hAnsi="Courier" w:cs="Courier"/>
          <w:color w:val="000000"/>
          <w:kern w:val="0"/>
          <w:sz w:val="32"/>
          <w:szCs w:val="32"/>
        </w:rPr>
        <w:t>2024</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6</w:t>
      </w:r>
      <w:r>
        <w:rPr>
          <w:rFonts w:ascii="PingFang SC" w:eastAsia="PingFang SC" w:hAnsi="Courier" w:cs="PingFang SC" w:hint="eastAsia"/>
          <w:color w:val="000000"/>
          <w:kern w:val="0"/>
          <w:sz w:val="32"/>
          <w:szCs w:val="32"/>
        </w:rPr>
        <w:t>月后出版，发行量累积达到</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万册以上；各单位申报图书出版（优秀图书出版品牌）不超过</w:t>
      </w: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项。</w:t>
      </w:r>
    </w:p>
    <w:p w14:paraId="2A70D77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期刊出版</w:t>
      </w:r>
    </w:p>
    <w:p w14:paraId="4607EE97"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申报条件：具有期刊出版许可证的单位。</w:t>
      </w:r>
    </w:p>
    <w:p w14:paraId="3958ED53"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发行渠道</w:t>
      </w:r>
    </w:p>
    <w:p w14:paraId="2395542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申报条件：具有出版物经营许可证并通过年度核验的企业。</w:t>
      </w:r>
    </w:p>
    <w:p w14:paraId="32CA558E"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印刷产业</w:t>
      </w:r>
    </w:p>
    <w:p w14:paraId="1740E5F4"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申报条件：具备印刷（复制）经营许可证的企业，主要资助总投资</w:t>
      </w:r>
      <w:r>
        <w:rPr>
          <w:rFonts w:ascii="Courier" w:eastAsia="PingFang SC" w:hAnsi="Courier" w:cs="Courier"/>
          <w:color w:val="000000"/>
          <w:kern w:val="0"/>
          <w:sz w:val="32"/>
          <w:szCs w:val="32"/>
        </w:rPr>
        <w:t>200</w:t>
      </w:r>
      <w:r>
        <w:rPr>
          <w:rFonts w:ascii="PingFang SC" w:eastAsia="PingFang SC" w:hAnsi="Courier" w:cs="PingFang SC" w:hint="eastAsia"/>
          <w:color w:val="000000"/>
          <w:kern w:val="0"/>
          <w:sz w:val="32"/>
          <w:szCs w:val="32"/>
        </w:rPr>
        <w:t>万元以上的项目。</w:t>
      </w:r>
    </w:p>
    <w:p w14:paraId="2FC2926A"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5.</w:t>
      </w:r>
      <w:r>
        <w:rPr>
          <w:rFonts w:ascii="PingFang SC" w:eastAsia="PingFang SC" w:hAnsi="Courier" w:cs="PingFang SC" w:hint="eastAsia"/>
          <w:color w:val="000000"/>
          <w:kern w:val="0"/>
          <w:sz w:val="32"/>
          <w:szCs w:val="32"/>
        </w:rPr>
        <w:t>全民阅读品牌活动</w:t>
      </w:r>
    </w:p>
    <w:p w14:paraId="5677BF01"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申报条件：图书发行机构及其他符合条件的社会组织；项目主题正向、形式鲜活、成效良好。</w:t>
      </w:r>
    </w:p>
    <w:p w14:paraId="4AE762AD"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6.</w:t>
      </w:r>
      <w:r>
        <w:rPr>
          <w:rFonts w:ascii="PingFang SC" w:eastAsia="PingFang SC" w:hAnsi="Courier" w:cs="PingFang SC" w:hint="eastAsia"/>
          <w:color w:val="000000"/>
          <w:kern w:val="0"/>
          <w:sz w:val="32"/>
          <w:szCs w:val="32"/>
        </w:rPr>
        <w:t>网络出版</w:t>
      </w:r>
    </w:p>
    <w:p w14:paraId="29C1747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申报条件：网络出版相关企事业单位或社会组织。</w:t>
      </w:r>
    </w:p>
    <w:p w14:paraId="7D9DEF77"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7.</w:t>
      </w:r>
      <w:r>
        <w:rPr>
          <w:rFonts w:ascii="PingFang SC" w:eastAsia="PingFang SC" w:hAnsi="Courier" w:cs="PingFang SC" w:hint="eastAsia"/>
          <w:color w:val="000000"/>
          <w:kern w:val="0"/>
          <w:sz w:val="32"/>
          <w:szCs w:val="32"/>
        </w:rPr>
        <w:t>版权产业与国际传播</w:t>
      </w:r>
    </w:p>
    <w:p w14:paraId="2EF89A33" w14:textId="77777777" w:rsidR="001D5A81" w:rsidRDefault="001D5A81" w:rsidP="001D5A81">
      <w:pPr>
        <w:widowControl/>
        <w:tabs>
          <w:tab w:val="left" w:pos="916"/>
          <w:tab w:val="left" w:pos="1832"/>
          <w:tab w:val="left" w:pos="2748"/>
          <w:tab w:val="left" w:pos="3664"/>
          <w:tab w:val="left" w:pos="4580"/>
          <w:tab w:val="left" w:pos="5496"/>
          <w:tab w:val="left" w:pos="6412"/>
          <w:tab w:val="left" w:pos="7328"/>
          <w:tab w:val="left" w:pos="7800"/>
        </w:tabs>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申报条件：版权产业与国际传播项目申报单位为版权、新闻出版等相关机构；图书版权输出优秀项目申报单位为具备图书出版许可证的出版单位。</w:t>
      </w:r>
    </w:p>
    <w:p w14:paraId="124054A5"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三、游戏电竞</w:t>
      </w:r>
    </w:p>
    <w:p w14:paraId="48FC07A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（一）支持重点和范围</w:t>
      </w:r>
    </w:p>
    <w:p w14:paraId="07BF2123"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重点支持：集聚区内政策支持有力、公共服务齐全、资源导入丰富、产业链生态完整的园区、孵化器；传播中华优秀传统文化、讲好上海故事的原创精品游戏产品以及</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游戏</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跨界融合项目（多领域协同、新型主题消费场景打造及与上海老字号联动）；高规格游戏电竞品牌活动、高能级评奖项目、国际性行业活动以及推动中国游戏出海的公共服务平台和配套专项服务；自有电竞品牌赛事体系建设、大型电竞活动举办、国际顶级电竞赛事引进，以及电竞标准体系建设、游戏电竞产业研究及成果转化。</w:t>
      </w:r>
    </w:p>
    <w:p w14:paraId="4A66F26A"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（二）申报条件</w:t>
      </w:r>
    </w:p>
    <w:p w14:paraId="6A6E96E9"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申请孵化器项目实施地须落地集聚区，申请主体为孵化器运营主体或相应单位，并须经所在区文旅局书面推荐；项目应在</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日至</w:t>
      </w:r>
      <w:r>
        <w:rPr>
          <w:rFonts w:ascii="Courier" w:eastAsia="PingFang SC" w:hAnsi="Courier" w:cs="Courier"/>
          <w:color w:val="000000"/>
          <w:kern w:val="0"/>
          <w:sz w:val="32"/>
          <w:szCs w:val="32"/>
        </w:rPr>
        <w:t>2026</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5</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6</w:t>
      </w:r>
      <w:r>
        <w:rPr>
          <w:rFonts w:ascii="PingFang SC" w:eastAsia="PingFang SC" w:hAnsi="Courier" w:cs="PingFang SC" w:hint="eastAsia"/>
          <w:color w:val="000000"/>
          <w:kern w:val="0"/>
          <w:sz w:val="32"/>
          <w:szCs w:val="32"/>
        </w:rPr>
        <w:t>日期间实施。</w:t>
      </w:r>
    </w:p>
    <w:p w14:paraId="2FA050A5"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电竞活动、电竞研究项目在</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日至</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日期间完成。</w:t>
      </w:r>
    </w:p>
    <w:p w14:paraId="3442A847"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四、文体娱乐业</w:t>
      </w:r>
    </w:p>
    <w:p w14:paraId="7C3E7991"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（一）支持重点和范围</w:t>
      </w:r>
    </w:p>
    <w:p w14:paraId="03CA9E59"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重点支持：文体娱乐业企业开拓新业务、培育新业态、探索新模式、运用新技术，做强做大主业，形成发展实效的项目；领军企业、国内外知名文化企业在沪布局文体娱乐业业务，引领行业发展的项目；行业协会协助推动文体娱乐业企业落地集聚发展，形成行业发展增量的项目。</w:t>
      </w:r>
    </w:p>
    <w:p w14:paraId="0F297AC0"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（二）申报条件</w:t>
      </w:r>
    </w:p>
    <w:p w14:paraId="4556D6FD"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对</w:t>
      </w:r>
      <w:r>
        <w:rPr>
          <w:rFonts w:ascii="Courier" w:eastAsia="PingFang SC" w:hAnsi="Courier" w:cs="Courier"/>
          <w:color w:val="000000"/>
          <w:kern w:val="0"/>
          <w:sz w:val="32"/>
          <w:szCs w:val="32"/>
        </w:rPr>
        <w:t>2026</w:t>
      </w:r>
      <w:r>
        <w:rPr>
          <w:rFonts w:ascii="PingFang SC" w:eastAsia="PingFang SC" w:hAnsi="Courier" w:cs="PingFang SC" w:hint="eastAsia"/>
          <w:color w:val="000000"/>
          <w:kern w:val="0"/>
          <w:sz w:val="32"/>
          <w:szCs w:val="32"/>
        </w:rPr>
        <w:t>年度文体娱乐业高质量发展具有较大贡献的纳统企业和文化行业组织；项目须为</w:t>
      </w:r>
      <w:r>
        <w:rPr>
          <w:rFonts w:ascii="Courier" w:eastAsia="PingFang SC" w:hAnsi="Courier" w:cs="Courier"/>
          <w:color w:val="000000"/>
          <w:kern w:val="0"/>
          <w:sz w:val="32"/>
          <w:szCs w:val="32"/>
        </w:rPr>
        <w:t>2026</w:t>
      </w:r>
      <w:r>
        <w:rPr>
          <w:rFonts w:ascii="PingFang SC" w:eastAsia="PingFang SC" w:hAnsi="Courier" w:cs="PingFang SC" w:hint="eastAsia"/>
          <w:color w:val="000000"/>
          <w:kern w:val="0"/>
          <w:sz w:val="32"/>
          <w:szCs w:val="32"/>
        </w:rPr>
        <w:t>年的成果。</w:t>
      </w:r>
    </w:p>
    <w:p w14:paraId="2F828D70"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五、互联网优质内容</w:t>
      </w:r>
    </w:p>
    <w:p w14:paraId="3E78E03F"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申报细则另行发布。</w:t>
      </w:r>
    </w:p>
    <w:p w14:paraId="3E3FB391"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六、设计创新与时尚消费</w:t>
      </w:r>
    </w:p>
    <w:p w14:paraId="2CD8A3FC"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（一）支持重点和范围</w:t>
      </w:r>
    </w:p>
    <w:p w14:paraId="0E17BA04" w14:textId="77777777" w:rsidR="001D5A81" w:rsidRDefault="001D5A81" w:rsidP="001D5A81">
      <w:pPr>
        <w:widowControl/>
        <w:autoSpaceDE w:val="0"/>
        <w:autoSpaceDN w:val="0"/>
        <w:adjustRightInd w:val="0"/>
        <w:spacing w:line="600" w:lineRule="exact"/>
        <w:ind w:firstLine="627"/>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设计创新。支持国家级工业设计中心、上海市设计创新中心、</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上海设计</w:t>
      </w:r>
      <w:r>
        <w:rPr>
          <w:rFonts w:ascii="Courier" w:eastAsia="PingFang SC" w:hAnsi="Courier" w:cs="Courier"/>
          <w:color w:val="000000"/>
          <w:kern w:val="0"/>
          <w:sz w:val="32"/>
          <w:szCs w:val="32"/>
        </w:rPr>
        <w:t>100+”</w:t>
      </w:r>
      <w:r>
        <w:rPr>
          <w:rFonts w:ascii="PingFang SC" w:eastAsia="PingFang SC" w:hAnsi="Courier" w:cs="PingFang SC" w:hint="eastAsia"/>
          <w:color w:val="000000"/>
          <w:kern w:val="0"/>
          <w:sz w:val="32"/>
          <w:szCs w:val="32"/>
        </w:rPr>
        <w:t>年度大奖获奖企业提升设计创新能力，包括设计软件和硬件设备投入、知识产权投入、设计研发和打样迭代投入等。</w:t>
      </w:r>
    </w:p>
    <w:p w14:paraId="3F47D929" w14:textId="77777777" w:rsidR="001D5A81" w:rsidRDefault="001D5A81" w:rsidP="001D5A81">
      <w:pPr>
        <w:widowControl/>
        <w:autoSpaceDE w:val="0"/>
        <w:autoSpaceDN w:val="0"/>
        <w:adjustRightInd w:val="0"/>
        <w:spacing w:line="600" w:lineRule="exact"/>
        <w:ind w:firstLine="627"/>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时尚引领。支持时尚引领标杆企业、</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上海时尚出品</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创新产品入选企业提升时尚表达和创新突破能力、市场竞争和行业引领能力，包括时尚产品设计研发投入、企业品牌建设和市场推广投入等。</w:t>
      </w:r>
    </w:p>
    <w:p w14:paraId="4262CC17" w14:textId="77777777" w:rsidR="001D5A81" w:rsidRDefault="001D5A81" w:rsidP="001D5A81">
      <w:pPr>
        <w:widowControl/>
        <w:autoSpaceDE w:val="0"/>
        <w:autoSpaceDN w:val="0"/>
        <w:adjustRightInd w:val="0"/>
        <w:spacing w:line="600" w:lineRule="exact"/>
        <w:ind w:firstLine="627"/>
        <w:rPr>
          <w:rFonts w:ascii="Courier" w:eastAsia="PingFang SC" w:hAnsi="Courier" w:cs="Courier"/>
          <w:color w:val="000000"/>
          <w:kern w:val="0"/>
          <w:sz w:val="32"/>
          <w:szCs w:val="32"/>
        </w:rPr>
      </w:pPr>
      <w:r>
        <w:rPr>
          <w:rFonts w:ascii="Courier" w:eastAsia="PingFang SC" w:hAnsi="Courier" w:cs="Courier"/>
          <w:color w:val="000000"/>
          <w:kern w:val="0"/>
          <w:sz w:val="32"/>
          <w:szCs w:val="32"/>
        </w:rPr>
        <w:t>3.</w:t>
      </w:r>
      <w:r>
        <w:rPr>
          <w:rFonts w:ascii="PingFang SC" w:eastAsia="PingFang SC" w:hAnsi="Courier" w:cs="PingFang SC" w:hint="eastAsia"/>
          <w:color w:val="000000"/>
          <w:kern w:val="0"/>
          <w:sz w:val="32"/>
          <w:szCs w:val="32"/>
        </w:rPr>
        <w:t>研发应用化妆品新原料。对成功纳入《已使用化妆品原料目录》的注册新原料、备案新原料，并在上海实现产业化的，分别给予扶持。</w:t>
      </w:r>
    </w:p>
    <w:p w14:paraId="633C7228" w14:textId="77777777" w:rsidR="001D5A81" w:rsidRDefault="001D5A81" w:rsidP="001D5A81">
      <w:pPr>
        <w:widowControl/>
        <w:autoSpaceDE w:val="0"/>
        <w:autoSpaceDN w:val="0"/>
        <w:adjustRightInd w:val="0"/>
        <w:spacing w:line="600" w:lineRule="exact"/>
        <w:ind w:firstLine="627"/>
        <w:rPr>
          <w:rFonts w:ascii="Courier" w:eastAsia="PingFang SC" w:hAnsi="Courier" w:cs="Courier"/>
          <w:color w:val="000000"/>
          <w:kern w:val="0"/>
          <w:sz w:val="32"/>
          <w:szCs w:val="32"/>
        </w:rPr>
      </w:pPr>
      <w:r>
        <w:rPr>
          <w:rFonts w:ascii="Courier" w:eastAsia="PingFang SC" w:hAnsi="Courier" w:cs="Courier"/>
          <w:color w:val="000000"/>
          <w:kern w:val="0"/>
          <w:sz w:val="32"/>
          <w:szCs w:val="32"/>
        </w:rPr>
        <w:t>4.</w:t>
      </w:r>
      <w:r>
        <w:rPr>
          <w:rFonts w:ascii="PingFang SC" w:eastAsia="PingFang SC" w:hAnsi="Courier" w:cs="PingFang SC" w:hint="eastAsia"/>
          <w:color w:val="000000"/>
          <w:kern w:val="0"/>
          <w:sz w:val="32"/>
          <w:szCs w:val="32"/>
        </w:rPr>
        <w:t>同一项目不与在建扶持类同时支持。</w:t>
      </w:r>
    </w:p>
    <w:p w14:paraId="20F466A3"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（二）申报条件</w:t>
      </w:r>
    </w:p>
    <w:p w14:paraId="5B124997"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年获评国家级工业设计中心、市级设计创新中心、</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上海设计</w:t>
      </w:r>
      <w:r>
        <w:rPr>
          <w:rFonts w:ascii="Courier" w:eastAsia="PingFang SC" w:hAnsi="Courier" w:cs="Courier"/>
          <w:color w:val="000000"/>
          <w:kern w:val="0"/>
          <w:sz w:val="32"/>
          <w:szCs w:val="32"/>
        </w:rPr>
        <w:t>100+”</w:t>
      </w:r>
      <w:r>
        <w:rPr>
          <w:rFonts w:ascii="PingFang SC" w:eastAsia="PingFang SC" w:hAnsi="Courier" w:cs="PingFang SC" w:hint="eastAsia"/>
          <w:color w:val="000000"/>
          <w:kern w:val="0"/>
          <w:sz w:val="32"/>
          <w:szCs w:val="32"/>
        </w:rPr>
        <w:t>年度大奖、时尚引领标杆企业、</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上海时尚出品</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创新产品称号的企业；成功注册或备案化妆品新原料并在上海实现产业化的企业。</w:t>
      </w:r>
    </w:p>
    <w:p w14:paraId="679DFF8B"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七、文创园区</w:t>
      </w:r>
    </w:p>
    <w:p w14:paraId="3361619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申报细则另行发布。</w:t>
      </w:r>
    </w:p>
    <w:p w14:paraId="39E9E5DA" w14:textId="77777777" w:rsidR="001D5A81" w:rsidRDefault="001D5A81" w:rsidP="001D5A81">
      <w:pPr>
        <w:widowControl/>
        <w:autoSpaceDE w:val="0"/>
        <w:autoSpaceDN w:val="0"/>
        <w:adjustRightInd w:val="0"/>
        <w:spacing w:line="600" w:lineRule="exact"/>
        <w:ind w:firstLine="640"/>
        <w:rPr>
          <w:rFonts w:ascii="Helvetica" w:eastAsia="PingFang SC" w:hAnsi="Helvetica" w:cs="Helvetica"/>
          <w:color w:val="000000"/>
          <w:kern w:val="0"/>
          <w:sz w:val="32"/>
          <w:szCs w:val="32"/>
        </w:rPr>
      </w:pPr>
      <w:r>
        <w:rPr>
          <w:rFonts w:ascii="PingFang SC" w:eastAsia="PingFang SC" w:hAnsi="Courier" w:cs="PingFang SC" w:hint="eastAsia"/>
          <w:color w:val="000000"/>
          <w:kern w:val="0"/>
          <w:sz w:val="32"/>
          <w:szCs w:val="32"/>
        </w:rPr>
        <w:t>八、文创金融服务</w:t>
      </w:r>
    </w:p>
    <w:p w14:paraId="5D23A9AB"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Helvetica" w:cs="PingFang SC" w:hint="eastAsia"/>
          <w:color w:val="000000"/>
          <w:kern w:val="0"/>
          <w:sz w:val="32"/>
          <w:szCs w:val="32"/>
        </w:rPr>
        <w:t>（一）支持重点和范围</w:t>
      </w:r>
    </w:p>
    <w:p w14:paraId="3C30FE48"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鼓励中小微文创企业拓宽融资渠道，对单笔不超过</w:t>
      </w:r>
      <w:r>
        <w:rPr>
          <w:rFonts w:ascii="Courier" w:eastAsia="PingFang SC" w:hAnsi="Courier" w:cs="Courier"/>
          <w:color w:val="000000"/>
          <w:kern w:val="0"/>
          <w:sz w:val="32"/>
          <w:szCs w:val="32"/>
        </w:rPr>
        <w:t>1000</w:t>
      </w:r>
      <w:r>
        <w:rPr>
          <w:rFonts w:ascii="PingFang SC" w:eastAsia="PingFang SC" w:hAnsi="Courier" w:cs="PingFang SC" w:hint="eastAsia"/>
          <w:color w:val="000000"/>
          <w:kern w:val="0"/>
          <w:sz w:val="32"/>
          <w:szCs w:val="32"/>
        </w:rPr>
        <w:t>万元（含</w:t>
      </w:r>
      <w:r>
        <w:rPr>
          <w:rFonts w:ascii="Courier" w:eastAsia="PingFang SC" w:hAnsi="Courier" w:cs="Courier"/>
          <w:color w:val="000000"/>
          <w:kern w:val="0"/>
          <w:sz w:val="32"/>
          <w:szCs w:val="32"/>
        </w:rPr>
        <w:t>1000</w:t>
      </w:r>
      <w:r>
        <w:rPr>
          <w:rFonts w:ascii="PingFang SC" w:eastAsia="PingFang SC" w:hAnsi="Courier" w:cs="PingFang SC" w:hint="eastAsia"/>
          <w:color w:val="000000"/>
          <w:kern w:val="0"/>
          <w:sz w:val="32"/>
          <w:szCs w:val="32"/>
        </w:rPr>
        <w:t>万元）的贷款给予最多不超过一年的贴息支持，进一步降低文创企业融资成本。</w:t>
      </w:r>
    </w:p>
    <w:p w14:paraId="3E97DEFB"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对本市文创企业通过注册地所在区上海市银行业文化创意特色支行（以下简称</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文创特色支行</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）获得的贷款，并于</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日至</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日期间偿还的利息，给予贴息支持（文创特色支行目录另附）。</w:t>
      </w:r>
    </w:p>
    <w:p w14:paraId="63522051"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对本市重点文化创意企业认定企业、</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年度长三角文旅产业重大项目</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的入选企业以及</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第三届</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文创上海</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创新创业大赛</w:t>
      </w:r>
      <w:r>
        <w:rPr>
          <w:rFonts w:ascii="Courier" w:eastAsia="PingFang SC" w:hAnsi="Courier" w:cs="Courier"/>
          <w:color w:val="000000"/>
          <w:kern w:val="0"/>
          <w:sz w:val="32"/>
          <w:szCs w:val="32"/>
        </w:rPr>
        <w:t>”</w:t>
      </w:r>
      <w:r>
        <w:rPr>
          <w:rFonts w:ascii="PingFang SC" w:eastAsia="PingFang SC" w:hAnsi="Courier" w:cs="PingFang SC" w:hint="eastAsia"/>
          <w:color w:val="000000"/>
          <w:kern w:val="0"/>
          <w:sz w:val="32"/>
          <w:szCs w:val="32"/>
        </w:rPr>
        <w:t>的获奖企业，通过本市银行、小额贷款公司获得的贷款，并于</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日至</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日期间偿还的利息，给予贴息支持。</w:t>
      </w:r>
    </w:p>
    <w:p w14:paraId="60AEBB29"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PingFang SC" w:eastAsia="PingFang SC" w:hAnsi="Courier" w:cs="PingFang SC" w:hint="eastAsia"/>
          <w:color w:val="000000"/>
          <w:kern w:val="0"/>
          <w:sz w:val="32"/>
          <w:szCs w:val="32"/>
        </w:rPr>
        <w:t>（二）申报条件</w:t>
      </w:r>
    </w:p>
    <w:p w14:paraId="2A4EF7C7" w14:textId="77777777" w:rsidR="001D5A81" w:rsidRDefault="001D5A81" w:rsidP="001D5A81">
      <w:pPr>
        <w:widowControl/>
        <w:autoSpaceDE w:val="0"/>
        <w:autoSpaceDN w:val="0"/>
        <w:adjustRightInd w:val="0"/>
        <w:spacing w:line="600" w:lineRule="exact"/>
        <w:ind w:firstLine="640"/>
        <w:rPr>
          <w:rFonts w:ascii="Courier" w:eastAsia="PingFang SC" w:hAnsi="Courier" w:cs="Courier"/>
          <w:color w:val="000000"/>
          <w:kern w:val="0"/>
          <w:sz w:val="32"/>
          <w:szCs w:val="32"/>
        </w:rPr>
      </w:pP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企业已在偿还贷款利息，无逾期还款记录，无其他失信行为；贴息范围为企业于</w:t>
      </w:r>
      <w:r>
        <w:rPr>
          <w:rFonts w:ascii="Courier" w:eastAsia="PingFang SC" w:hAnsi="Courier" w:cs="Courier"/>
          <w:color w:val="000000"/>
          <w:kern w:val="0"/>
          <w:sz w:val="32"/>
          <w:szCs w:val="32"/>
        </w:rPr>
        <w:t>2025</w:t>
      </w:r>
      <w:r>
        <w:rPr>
          <w:rFonts w:ascii="PingFang SC" w:eastAsia="PingFang SC" w:hAnsi="Courier" w:cs="PingFang SC" w:hint="eastAsia"/>
          <w:color w:val="000000"/>
          <w:kern w:val="0"/>
          <w:sz w:val="32"/>
          <w:szCs w:val="32"/>
        </w:rPr>
        <w:t>年</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1</w:t>
      </w:r>
      <w:r>
        <w:rPr>
          <w:rFonts w:ascii="PingFang SC" w:eastAsia="PingFang SC" w:hAnsi="Courier" w:cs="PingFang SC" w:hint="eastAsia"/>
          <w:color w:val="000000"/>
          <w:kern w:val="0"/>
          <w:sz w:val="32"/>
          <w:szCs w:val="32"/>
        </w:rPr>
        <w:t>日至</w:t>
      </w:r>
      <w:r>
        <w:rPr>
          <w:rFonts w:ascii="Courier" w:eastAsia="PingFang SC" w:hAnsi="Courier" w:cs="Courier"/>
          <w:color w:val="000000"/>
          <w:kern w:val="0"/>
          <w:sz w:val="32"/>
          <w:szCs w:val="32"/>
        </w:rPr>
        <w:t>12</w:t>
      </w:r>
      <w:r>
        <w:rPr>
          <w:rFonts w:ascii="PingFang SC" w:eastAsia="PingFang SC" w:hAnsi="Courier" w:cs="PingFang SC" w:hint="eastAsia"/>
          <w:color w:val="000000"/>
          <w:kern w:val="0"/>
          <w:sz w:val="32"/>
          <w:szCs w:val="32"/>
        </w:rPr>
        <w:t>月</w:t>
      </w:r>
      <w:r>
        <w:rPr>
          <w:rFonts w:ascii="Courier" w:eastAsia="PingFang SC" w:hAnsi="Courier" w:cs="Courier"/>
          <w:color w:val="000000"/>
          <w:kern w:val="0"/>
          <w:sz w:val="32"/>
          <w:szCs w:val="32"/>
        </w:rPr>
        <w:t>31</w:t>
      </w:r>
      <w:r>
        <w:rPr>
          <w:rFonts w:ascii="PingFang SC" w:eastAsia="PingFang SC" w:hAnsi="Courier" w:cs="PingFang SC" w:hint="eastAsia"/>
          <w:color w:val="000000"/>
          <w:kern w:val="0"/>
          <w:sz w:val="32"/>
          <w:szCs w:val="32"/>
        </w:rPr>
        <w:t>日期间偿还的利息。</w:t>
      </w:r>
    </w:p>
    <w:p w14:paraId="328445A4" w14:textId="77777777" w:rsidR="00535E1D" w:rsidRDefault="001D5A81" w:rsidP="001D5A81">
      <w:r>
        <w:rPr>
          <w:rFonts w:ascii="Courier" w:eastAsia="PingFang SC" w:hAnsi="Courier" w:cs="Courier"/>
          <w:color w:val="000000"/>
          <w:kern w:val="0"/>
          <w:sz w:val="32"/>
          <w:szCs w:val="32"/>
        </w:rPr>
        <w:t>2.</w:t>
      </w:r>
      <w:r>
        <w:rPr>
          <w:rFonts w:ascii="PingFang SC" w:eastAsia="PingFang SC" w:hAnsi="Courier" w:cs="PingFang SC" w:hint="eastAsia"/>
          <w:color w:val="000000"/>
          <w:kern w:val="0"/>
          <w:sz w:val="32"/>
          <w:szCs w:val="32"/>
        </w:rPr>
        <w:t>每家企业限申请一笔贴息补贴。单笔贷款已获得过其他市级财政贴息支持的不予支持（已获得我市服务业经营主体贷款财政贴息的除外，但此次贴息不得超出扣除已有贴息后的实际利率水平）。</w:t>
      </w:r>
      <w:bookmarkStart w:id="0" w:name="_GoBack"/>
      <w:bookmarkEnd w:id="0"/>
    </w:p>
    <w:sectPr w:rsidR="00535E1D" w:rsidSect="00883C68">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PingFang SC">
    <w:panose1 w:val="020B0400000000000000"/>
    <w:charset w:val="86"/>
    <w:family w:val="auto"/>
    <w:pitch w:val="variable"/>
    <w:sig w:usb0="A00002FF" w:usb1="7ACFFDFB" w:usb2="00000016" w:usb3="00000000" w:csb0="00140001" w:csb1="00000000"/>
  </w:font>
  <w:font w:name="Arial Unicode MS">
    <w:panose1 w:val="020B0604020202020204"/>
    <w:charset w:val="00"/>
    <w:family w:val="auto"/>
    <w:pitch w:val="variable"/>
    <w:sig w:usb0="F7FFAFFF" w:usb1="E9DFFFFF" w:usb2="0000003F" w:usb3="00000000" w:csb0="003F01FF" w:csb1="00000000"/>
  </w:font>
  <w:font w:name="Courier">
    <w:panose1 w:val="02000500000000000000"/>
    <w:charset w:val="00"/>
    <w:family w:val="auto"/>
    <w:pitch w:val="variable"/>
    <w:sig w:usb0="00000003" w:usb1="00000000" w:usb2="00000000" w:usb3="00000000" w:csb0="00000001" w:csb1="00000000"/>
  </w:font>
  <w:font w:name="SimSong">
    <w:panose1 w:val="02020300000000000000"/>
    <w:charset w:val="86"/>
    <w:family w:val="auto"/>
    <w:pitch w:val="variable"/>
    <w:sig w:usb0="800002BF" w:usb1="38CF7CFA" w:usb2="00000016" w:usb3="00000000" w:csb0="0004000D"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81"/>
    <w:rsid w:val="001D5A81"/>
    <w:rsid w:val="00270428"/>
    <w:rsid w:val="00853F57"/>
    <w:rsid w:val="00883C68"/>
    <w:rsid w:val="008E7124"/>
    <w:rsid w:val="00B24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782CB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6525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994</Words>
  <Characters>5667</Characters>
  <Application>Microsoft Macintosh Word</Application>
  <DocSecurity>0</DocSecurity>
  <Lines>47</Lines>
  <Paragraphs>13</Paragraphs>
  <ScaleCrop>false</ScaleCrop>
  <LinksUpToDate>false</LinksUpToDate>
  <CharactersWithSpaces>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cp:revision>
  <dcterms:created xsi:type="dcterms:W3CDTF">2026-04-07T03:22:00Z</dcterms:created>
  <dcterms:modified xsi:type="dcterms:W3CDTF">2026-04-07T03:24:00Z</dcterms:modified>
</cp:coreProperties>
</file>